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Pr="00B9638F" w:rsidRDefault="00C869F3" w:rsidP="00C869F3">
      <w:pPr>
        <w:spacing w:after="480"/>
      </w:pPr>
      <w:r w:rsidRPr="00B9638F">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B9638F" w:rsidRPr="00B9638F" w14:paraId="322EF0DF" w14:textId="77777777" w:rsidTr="00EB3CF0">
        <w:trPr>
          <w:tblHeader/>
        </w:trPr>
        <w:tc>
          <w:tcPr>
            <w:tcW w:w="3456" w:type="dxa"/>
            <w:tcBorders>
              <w:bottom w:val="single" w:sz="18" w:space="0" w:color="auto"/>
            </w:tcBorders>
          </w:tcPr>
          <w:p w14:paraId="10F9A427" w14:textId="77777777" w:rsidR="00333FAA" w:rsidRPr="00B9638F" w:rsidRDefault="005811F8" w:rsidP="00F06E4E">
            <w:pPr>
              <w:pStyle w:val="Heading1"/>
              <w:spacing w:after="240"/>
              <w:outlineLvl w:val="0"/>
            </w:pPr>
            <w:r w:rsidRPr="00B9638F">
              <w:t>Report for</w:t>
            </w:r>
            <w:r w:rsidR="00333FAA" w:rsidRPr="00B9638F">
              <w:t>:</w:t>
            </w:r>
          </w:p>
        </w:tc>
        <w:tc>
          <w:tcPr>
            <w:tcW w:w="5054" w:type="dxa"/>
            <w:tcBorders>
              <w:bottom w:val="single" w:sz="18" w:space="0" w:color="auto"/>
            </w:tcBorders>
          </w:tcPr>
          <w:p w14:paraId="541B30E0" w14:textId="77777777" w:rsidR="00333FAA" w:rsidRPr="00B9638F" w:rsidRDefault="005811F8" w:rsidP="00F06E4E">
            <w:pPr>
              <w:pStyle w:val="Heading1"/>
              <w:outlineLvl w:val="0"/>
              <w:rPr>
                <w:szCs w:val="24"/>
              </w:rPr>
            </w:pPr>
            <w:r w:rsidRPr="00B9638F">
              <w:t>Cabinet</w:t>
            </w:r>
          </w:p>
        </w:tc>
      </w:tr>
      <w:tr w:rsidR="00B9638F" w:rsidRPr="00B9638F" w14:paraId="67D60646" w14:textId="77777777" w:rsidTr="00EB3CF0">
        <w:tc>
          <w:tcPr>
            <w:tcW w:w="3456" w:type="dxa"/>
            <w:tcBorders>
              <w:top w:val="single" w:sz="18" w:space="0" w:color="auto"/>
            </w:tcBorders>
          </w:tcPr>
          <w:p w14:paraId="4DDB5947" w14:textId="77777777" w:rsidR="00333FAA" w:rsidRPr="00B9638F" w:rsidRDefault="00333FAA" w:rsidP="00C869F3">
            <w:pPr>
              <w:pStyle w:val="Infotext"/>
              <w:spacing w:after="240"/>
              <w:rPr>
                <w:rFonts w:ascii="Arial Black" w:hAnsi="Arial Black" w:cs="Arial"/>
              </w:rPr>
            </w:pPr>
            <w:r w:rsidRPr="00B9638F">
              <w:rPr>
                <w:rFonts w:ascii="Arial Black" w:hAnsi="Arial Black"/>
              </w:rPr>
              <w:t>Date of Meeting:</w:t>
            </w:r>
          </w:p>
        </w:tc>
        <w:tc>
          <w:tcPr>
            <w:tcW w:w="5054" w:type="dxa"/>
            <w:tcBorders>
              <w:top w:val="single" w:sz="18" w:space="0" w:color="auto"/>
            </w:tcBorders>
          </w:tcPr>
          <w:p w14:paraId="72FCD075" w14:textId="3A23051A" w:rsidR="00333FAA" w:rsidRPr="00B9638F" w:rsidRDefault="00B5270B" w:rsidP="00A53B04">
            <w:pPr>
              <w:rPr>
                <w:rFonts w:cs="Arial"/>
                <w:szCs w:val="24"/>
              </w:rPr>
            </w:pPr>
            <w:r w:rsidRPr="00B9638F">
              <w:rPr>
                <w:rFonts w:cs="Arial"/>
                <w:szCs w:val="24"/>
              </w:rPr>
              <w:t>1</w:t>
            </w:r>
            <w:r w:rsidR="00B64F31">
              <w:rPr>
                <w:rFonts w:cs="Arial"/>
                <w:szCs w:val="24"/>
              </w:rPr>
              <w:t>8</w:t>
            </w:r>
            <w:r w:rsidRPr="00B9638F">
              <w:rPr>
                <w:rFonts w:cs="Arial"/>
                <w:szCs w:val="24"/>
                <w:vertAlign w:val="superscript"/>
              </w:rPr>
              <w:t>th</w:t>
            </w:r>
            <w:r w:rsidRPr="00B9638F">
              <w:rPr>
                <w:rFonts w:cs="Arial"/>
                <w:szCs w:val="24"/>
              </w:rPr>
              <w:t xml:space="preserve"> July 2022</w:t>
            </w:r>
          </w:p>
        </w:tc>
      </w:tr>
      <w:tr w:rsidR="00B9638F" w:rsidRPr="00B9638F" w14:paraId="3CC97725" w14:textId="77777777" w:rsidTr="00EB3CF0">
        <w:tc>
          <w:tcPr>
            <w:tcW w:w="3456" w:type="dxa"/>
          </w:tcPr>
          <w:p w14:paraId="18BB8951" w14:textId="77777777" w:rsidR="00333FAA" w:rsidRPr="00B9638F" w:rsidRDefault="00333FAA" w:rsidP="00C869F3">
            <w:pPr>
              <w:pStyle w:val="Infotext"/>
              <w:spacing w:after="240"/>
              <w:rPr>
                <w:rFonts w:ascii="Arial Black" w:hAnsi="Arial Black"/>
              </w:rPr>
            </w:pPr>
            <w:r w:rsidRPr="00B9638F">
              <w:rPr>
                <w:rFonts w:ascii="Arial Black" w:hAnsi="Arial Black" w:cs="Arial"/>
              </w:rPr>
              <w:t>Subject:</w:t>
            </w:r>
          </w:p>
        </w:tc>
        <w:tc>
          <w:tcPr>
            <w:tcW w:w="5054" w:type="dxa"/>
          </w:tcPr>
          <w:p w14:paraId="700A9EE1" w14:textId="0BFC96DD" w:rsidR="009A2E64" w:rsidRPr="00B9638F" w:rsidRDefault="00B5270B" w:rsidP="009A2E64">
            <w:pPr>
              <w:rPr>
                <w:rFonts w:cs="Arial"/>
                <w:szCs w:val="24"/>
              </w:rPr>
            </w:pPr>
            <w:r w:rsidRPr="00B9638F">
              <w:rPr>
                <w:rFonts w:cs="Arial"/>
                <w:szCs w:val="24"/>
              </w:rPr>
              <w:t>Adult Social Care Bed</w:t>
            </w:r>
            <w:r w:rsidR="009657D6" w:rsidRPr="00B9638F">
              <w:rPr>
                <w:rFonts w:cs="Arial"/>
                <w:szCs w:val="24"/>
              </w:rPr>
              <w:t>ded Care Strategy</w:t>
            </w:r>
            <w:r w:rsidR="00625DEC" w:rsidRPr="00B9638F">
              <w:rPr>
                <w:rFonts w:cs="Arial"/>
                <w:szCs w:val="24"/>
              </w:rPr>
              <w:t xml:space="preserve">  </w:t>
            </w:r>
            <w:r w:rsidR="009A2E64" w:rsidRPr="00B9638F">
              <w:rPr>
                <w:rFonts w:cs="Arial"/>
                <w:szCs w:val="24"/>
              </w:rPr>
              <w:t xml:space="preserve"> </w:t>
            </w:r>
          </w:p>
          <w:p w14:paraId="6D8FB2C1" w14:textId="627E04EA" w:rsidR="00333FAA" w:rsidRPr="00B9638F" w:rsidRDefault="009A2E64" w:rsidP="00A53B04">
            <w:pPr>
              <w:rPr>
                <w:rFonts w:cs="Arial"/>
                <w:szCs w:val="24"/>
              </w:rPr>
            </w:pPr>
            <w:r w:rsidRPr="00B9638F">
              <w:rPr>
                <w:rFonts w:cs="Arial"/>
                <w:szCs w:val="24"/>
              </w:rPr>
              <w:t xml:space="preserve"> </w:t>
            </w:r>
          </w:p>
        </w:tc>
      </w:tr>
      <w:tr w:rsidR="00B9638F" w:rsidRPr="00B9638F" w14:paraId="32449166" w14:textId="77777777" w:rsidTr="00EB3CF0">
        <w:tc>
          <w:tcPr>
            <w:tcW w:w="3456" w:type="dxa"/>
          </w:tcPr>
          <w:p w14:paraId="17ECA8FA" w14:textId="77777777" w:rsidR="00333FAA" w:rsidRPr="00B9638F" w:rsidRDefault="00333FAA" w:rsidP="00C869F3">
            <w:pPr>
              <w:pStyle w:val="Infotext"/>
              <w:spacing w:after="240"/>
              <w:rPr>
                <w:rFonts w:ascii="Arial Black" w:hAnsi="Arial Black" w:cs="Arial"/>
              </w:rPr>
            </w:pPr>
            <w:r w:rsidRPr="00B9638F">
              <w:rPr>
                <w:rFonts w:ascii="Arial Black" w:hAnsi="Arial Black" w:cs="Arial"/>
              </w:rPr>
              <w:t>Key Decision:</w:t>
            </w:r>
          </w:p>
        </w:tc>
        <w:tc>
          <w:tcPr>
            <w:tcW w:w="5054" w:type="dxa"/>
          </w:tcPr>
          <w:p w14:paraId="36BFB3DF" w14:textId="4A458171" w:rsidR="009657D6" w:rsidRPr="00B9638F" w:rsidRDefault="00B64F31" w:rsidP="009657D6">
            <w:pPr>
              <w:pStyle w:val="Infotext"/>
              <w:rPr>
                <w:sz w:val="24"/>
                <w:szCs w:val="24"/>
                <w:lang w:val="en-US"/>
              </w:rPr>
            </w:pPr>
            <w:r>
              <w:rPr>
                <w:sz w:val="24"/>
                <w:szCs w:val="24"/>
              </w:rPr>
              <w:t>Yes - t</w:t>
            </w:r>
            <w:r w:rsidR="00810D76" w:rsidRPr="00B9638F">
              <w:rPr>
                <w:sz w:val="24"/>
                <w:szCs w:val="24"/>
              </w:rPr>
              <w:t xml:space="preserve">he decision sought will affect more than two wards and the value of </w:t>
            </w:r>
            <w:r w:rsidR="00BD6361" w:rsidRPr="00B9638F">
              <w:rPr>
                <w:sz w:val="24"/>
                <w:szCs w:val="24"/>
              </w:rPr>
              <w:t xml:space="preserve">both </w:t>
            </w:r>
            <w:r w:rsidR="00810D76" w:rsidRPr="00B9638F">
              <w:rPr>
                <w:sz w:val="24"/>
                <w:szCs w:val="24"/>
              </w:rPr>
              <w:t xml:space="preserve">the </w:t>
            </w:r>
            <w:r w:rsidR="00BD6361" w:rsidRPr="00B9638F">
              <w:rPr>
                <w:sz w:val="24"/>
                <w:szCs w:val="24"/>
              </w:rPr>
              <w:t xml:space="preserve">bedded care and Extra Care </w:t>
            </w:r>
            <w:r w:rsidR="00810D76" w:rsidRPr="00B9638F">
              <w:rPr>
                <w:sz w:val="24"/>
                <w:szCs w:val="24"/>
              </w:rPr>
              <w:t>contr</w:t>
            </w:r>
            <w:r w:rsidR="00C565C6" w:rsidRPr="00B9638F">
              <w:rPr>
                <w:sz w:val="24"/>
                <w:szCs w:val="24"/>
              </w:rPr>
              <w:t>a</w:t>
            </w:r>
            <w:r w:rsidR="00810D76" w:rsidRPr="00B9638F">
              <w:rPr>
                <w:sz w:val="24"/>
                <w:szCs w:val="24"/>
              </w:rPr>
              <w:t xml:space="preserve">cts </w:t>
            </w:r>
            <w:r w:rsidR="00C565C6" w:rsidRPr="00B9638F">
              <w:rPr>
                <w:sz w:val="24"/>
                <w:szCs w:val="24"/>
              </w:rPr>
              <w:t xml:space="preserve">will exceed </w:t>
            </w:r>
            <w:r w:rsidR="00810D76" w:rsidRPr="00B9638F">
              <w:rPr>
                <w:sz w:val="24"/>
                <w:szCs w:val="24"/>
              </w:rPr>
              <w:t xml:space="preserve">£500,000 </w:t>
            </w:r>
          </w:p>
          <w:p w14:paraId="3EADF2B3" w14:textId="268BB0A1" w:rsidR="00333FAA" w:rsidRPr="00B9638F" w:rsidRDefault="00333FAA" w:rsidP="009657D6">
            <w:pPr>
              <w:pStyle w:val="Infotext"/>
              <w:rPr>
                <w:rFonts w:cs="Arial"/>
                <w:sz w:val="24"/>
                <w:szCs w:val="24"/>
              </w:rPr>
            </w:pPr>
          </w:p>
        </w:tc>
      </w:tr>
      <w:tr w:rsidR="00B9638F" w:rsidRPr="00B9638F" w14:paraId="79E96200" w14:textId="77777777" w:rsidTr="00EB3CF0">
        <w:tc>
          <w:tcPr>
            <w:tcW w:w="3456" w:type="dxa"/>
          </w:tcPr>
          <w:p w14:paraId="0B8ABDC4" w14:textId="77777777" w:rsidR="001C7E35" w:rsidRPr="00B9638F" w:rsidRDefault="001C7E35" w:rsidP="00C869F3">
            <w:pPr>
              <w:pStyle w:val="Infotext"/>
              <w:spacing w:after="240"/>
              <w:rPr>
                <w:rFonts w:ascii="Arial Black" w:hAnsi="Arial Black" w:cs="Arial"/>
              </w:rPr>
            </w:pPr>
            <w:r w:rsidRPr="00B9638F">
              <w:rPr>
                <w:rFonts w:ascii="Arial Black" w:hAnsi="Arial Black" w:cs="Arial"/>
              </w:rPr>
              <w:t>Responsible Officer:</w:t>
            </w:r>
          </w:p>
        </w:tc>
        <w:tc>
          <w:tcPr>
            <w:tcW w:w="5054" w:type="dxa"/>
          </w:tcPr>
          <w:p w14:paraId="141968A6" w14:textId="77777777" w:rsidR="001C7E35" w:rsidRDefault="00655A73" w:rsidP="00655A73">
            <w:pPr>
              <w:pStyle w:val="Infotext"/>
              <w:rPr>
                <w:rFonts w:cs="Arial"/>
                <w:sz w:val="24"/>
                <w:szCs w:val="24"/>
              </w:rPr>
            </w:pPr>
            <w:r w:rsidRPr="00B9638F">
              <w:rPr>
                <w:rFonts w:cs="Arial"/>
                <w:sz w:val="24"/>
                <w:szCs w:val="24"/>
              </w:rPr>
              <w:t>Peter Tolley</w:t>
            </w:r>
            <w:r w:rsidR="00B64F31">
              <w:rPr>
                <w:rFonts w:cs="Arial"/>
                <w:sz w:val="24"/>
                <w:szCs w:val="24"/>
              </w:rPr>
              <w:t xml:space="preserve"> - </w:t>
            </w:r>
            <w:r w:rsidRPr="00B9638F">
              <w:rPr>
                <w:rFonts w:cs="Arial"/>
                <w:sz w:val="24"/>
                <w:szCs w:val="24"/>
              </w:rPr>
              <w:t>Interim Corporate Director People Services</w:t>
            </w:r>
          </w:p>
          <w:p w14:paraId="3798BF23" w14:textId="7CE5B9E4" w:rsidR="00B64F31" w:rsidRPr="00B9638F" w:rsidRDefault="00B64F31" w:rsidP="00655A73">
            <w:pPr>
              <w:pStyle w:val="Infotext"/>
              <w:rPr>
                <w:rFonts w:cs="Arial"/>
                <w:sz w:val="24"/>
                <w:szCs w:val="24"/>
              </w:rPr>
            </w:pPr>
          </w:p>
        </w:tc>
      </w:tr>
      <w:tr w:rsidR="00B9638F" w:rsidRPr="00B9638F" w14:paraId="3B6FD8B1" w14:textId="77777777" w:rsidTr="00EB3CF0">
        <w:tc>
          <w:tcPr>
            <w:tcW w:w="3456" w:type="dxa"/>
          </w:tcPr>
          <w:p w14:paraId="0961945D" w14:textId="77777777" w:rsidR="001C7E35" w:rsidRPr="00B9638F" w:rsidRDefault="001C7E35" w:rsidP="00C869F3">
            <w:pPr>
              <w:pStyle w:val="Infotext"/>
              <w:spacing w:after="240"/>
              <w:rPr>
                <w:rFonts w:ascii="Arial Black" w:hAnsi="Arial Black"/>
              </w:rPr>
            </w:pPr>
            <w:r w:rsidRPr="00B9638F">
              <w:rPr>
                <w:rFonts w:ascii="Arial Black" w:hAnsi="Arial Black"/>
              </w:rPr>
              <w:t>Portfolio Holder:</w:t>
            </w:r>
          </w:p>
        </w:tc>
        <w:tc>
          <w:tcPr>
            <w:tcW w:w="5054" w:type="dxa"/>
          </w:tcPr>
          <w:p w14:paraId="18FB5482" w14:textId="77777777" w:rsidR="001C7E35" w:rsidRDefault="00655A73" w:rsidP="00D835CF">
            <w:pPr>
              <w:pStyle w:val="Infotext"/>
              <w:rPr>
                <w:rFonts w:cs="Arial"/>
                <w:sz w:val="24"/>
                <w:szCs w:val="24"/>
              </w:rPr>
            </w:pPr>
            <w:r w:rsidRPr="00B9638F">
              <w:rPr>
                <w:rFonts w:cs="Arial"/>
                <w:sz w:val="24"/>
                <w:szCs w:val="24"/>
              </w:rPr>
              <w:t>Councillor Pritesh Patel</w:t>
            </w:r>
            <w:r w:rsidR="00B64F31">
              <w:rPr>
                <w:rFonts w:cs="Arial"/>
                <w:sz w:val="24"/>
                <w:szCs w:val="24"/>
              </w:rPr>
              <w:t xml:space="preserve"> - </w:t>
            </w:r>
            <w:r w:rsidRPr="00B9638F">
              <w:rPr>
                <w:rFonts w:cs="Arial"/>
                <w:sz w:val="24"/>
                <w:szCs w:val="24"/>
              </w:rPr>
              <w:t>Portfolio Holder for Adult Services and Public Health</w:t>
            </w:r>
          </w:p>
          <w:p w14:paraId="39A9A01A" w14:textId="7B201610" w:rsidR="00B64F31" w:rsidRPr="00B9638F" w:rsidRDefault="00B64F31" w:rsidP="00D835CF">
            <w:pPr>
              <w:pStyle w:val="Infotext"/>
              <w:rPr>
                <w:rFonts w:cs="Arial"/>
                <w:sz w:val="24"/>
                <w:szCs w:val="24"/>
              </w:rPr>
            </w:pPr>
          </w:p>
        </w:tc>
      </w:tr>
      <w:tr w:rsidR="00B9638F" w:rsidRPr="00B9638F" w14:paraId="3CF618C8" w14:textId="77777777" w:rsidTr="00EB3CF0">
        <w:tc>
          <w:tcPr>
            <w:tcW w:w="3456" w:type="dxa"/>
          </w:tcPr>
          <w:p w14:paraId="4CD8D092" w14:textId="77777777" w:rsidR="001C7E35" w:rsidRPr="00B9638F" w:rsidRDefault="001C7E35" w:rsidP="00C869F3">
            <w:pPr>
              <w:pStyle w:val="Infotext"/>
              <w:spacing w:after="240"/>
              <w:rPr>
                <w:rFonts w:ascii="Arial Black" w:hAnsi="Arial Black"/>
              </w:rPr>
            </w:pPr>
            <w:r w:rsidRPr="00B9638F">
              <w:rPr>
                <w:rFonts w:ascii="Arial Black" w:hAnsi="Arial Black"/>
              </w:rPr>
              <w:t>Exempt:</w:t>
            </w:r>
          </w:p>
        </w:tc>
        <w:tc>
          <w:tcPr>
            <w:tcW w:w="5054" w:type="dxa"/>
          </w:tcPr>
          <w:p w14:paraId="755E47D1" w14:textId="7C017963" w:rsidR="001C7E35" w:rsidRPr="00B9638F" w:rsidRDefault="00B64F31" w:rsidP="009657D6">
            <w:pPr>
              <w:pStyle w:val="Infotext"/>
              <w:rPr>
                <w:rFonts w:cs="Arial"/>
                <w:sz w:val="24"/>
                <w:szCs w:val="24"/>
              </w:rPr>
            </w:pPr>
            <w:r>
              <w:rPr>
                <w:rFonts w:cs="Arial"/>
                <w:sz w:val="24"/>
                <w:szCs w:val="24"/>
              </w:rPr>
              <w:t>No</w:t>
            </w:r>
            <w:r w:rsidR="001C7E35" w:rsidRPr="00B9638F">
              <w:rPr>
                <w:rFonts w:cs="Arial"/>
                <w:sz w:val="24"/>
                <w:szCs w:val="24"/>
              </w:rPr>
              <w:t xml:space="preserve"> </w:t>
            </w:r>
          </w:p>
        </w:tc>
      </w:tr>
      <w:tr w:rsidR="00B9638F" w:rsidRPr="00B9638F" w14:paraId="577CD75A" w14:textId="77777777" w:rsidTr="00EB3CF0">
        <w:tc>
          <w:tcPr>
            <w:tcW w:w="3456" w:type="dxa"/>
          </w:tcPr>
          <w:p w14:paraId="4821943C" w14:textId="77777777" w:rsidR="001C7E35" w:rsidRPr="00B9638F" w:rsidRDefault="001C7E35" w:rsidP="00C869F3">
            <w:pPr>
              <w:pStyle w:val="Infotext"/>
              <w:spacing w:after="240"/>
              <w:rPr>
                <w:rFonts w:ascii="Arial Black" w:hAnsi="Arial Black"/>
              </w:rPr>
            </w:pPr>
            <w:r w:rsidRPr="00B9638F">
              <w:rPr>
                <w:rFonts w:ascii="Arial Black" w:hAnsi="Arial Black"/>
              </w:rPr>
              <w:t>Decision subject to Call-in:</w:t>
            </w:r>
          </w:p>
        </w:tc>
        <w:tc>
          <w:tcPr>
            <w:tcW w:w="5054" w:type="dxa"/>
          </w:tcPr>
          <w:p w14:paraId="3A75E271" w14:textId="03BDCA38" w:rsidR="00714BEE" w:rsidRPr="00B9638F" w:rsidRDefault="001C7E35" w:rsidP="009657D6">
            <w:pPr>
              <w:pStyle w:val="Infotext"/>
              <w:rPr>
                <w:rFonts w:cs="Arial"/>
                <w:szCs w:val="24"/>
              </w:rPr>
            </w:pPr>
            <w:r w:rsidRPr="00B9638F">
              <w:rPr>
                <w:rFonts w:cs="Arial"/>
                <w:sz w:val="24"/>
                <w:szCs w:val="24"/>
              </w:rPr>
              <w:t xml:space="preserve">Yes </w:t>
            </w:r>
          </w:p>
        </w:tc>
      </w:tr>
      <w:tr w:rsidR="00B9638F" w:rsidRPr="00B9638F" w14:paraId="7E5497E1" w14:textId="77777777" w:rsidTr="00EB3CF0">
        <w:tc>
          <w:tcPr>
            <w:tcW w:w="3456" w:type="dxa"/>
          </w:tcPr>
          <w:p w14:paraId="6B5E6A6A" w14:textId="77777777" w:rsidR="001C7E35" w:rsidRPr="00B9638F" w:rsidRDefault="001C7E35" w:rsidP="00C869F3">
            <w:pPr>
              <w:pStyle w:val="Infotext"/>
              <w:spacing w:after="240"/>
              <w:rPr>
                <w:rFonts w:ascii="Arial Black" w:hAnsi="Arial Black" w:cs="Arial"/>
              </w:rPr>
            </w:pPr>
            <w:r w:rsidRPr="00B9638F">
              <w:rPr>
                <w:rFonts w:ascii="Arial Black" w:hAnsi="Arial Black" w:cs="Arial"/>
              </w:rPr>
              <w:t>Wards affected:</w:t>
            </w:r>
          </w:p>
        </w:tc>
        <w:tc>
          <w:tcPr>
            <w:tcW w:w="5054" w:type="dxa"/>
          </w:tcPr>
          <w:p w14:paraId="52E38AE7" w14:textId="26E272A2" w:rsidR="00307F76" w:rsidRPr="00B9638F" w:rsidRDefault="00B64F31" w:rsidP="00D835CF">
            <w:pPr>
              <w:rPr>
                <w:rFonts w:cs="Arial"/>
                <w:b/>
                <w:szCs w:val="24"/>
              </w:rPr>
            </w:pPr>
            <w:r>
              <w:rPr>
                <w:rFonts w:cs="Arial"/>
                <w:szCs w:val="24"/>
              </w:rPr>
              <w:t>All</w:t>
            </w:r>
            <w:r w:rsidR="009657D6" w:rsidRPr="00B9638F">
              <w:rPr>
                <w:rFonts w:cs="Arial"/>
                <w:szCs w:val="24"/>
              </w:rPr>
              <w:t xml:space="preserve"> wards</w:t>
            </w:r>
          </w:p>
        </w:tc>
      </w:tr>
      <w:tr w:rsidR="00B9638F" w:rsidRPr="00B9638F" w14:paraId="5F1445BF" w14:textId="77777777" w:rsidTr="00EB3CF0">
        <w:tc>
          <w:tcPr>
            <w:tcW w:w="3456" w:type="dxa"/>
          </w:tcPr>
          <w:p w14:paraId="0E539C63" w14:textId="77777777" w:rsidR="001C7E35" w:rsidRPr="00B9638F" w:rsidRDefault="001C7E35" w:rsidP="00C869F3">
            <w:pPr>
              <w:pStyle w:val="Infotext"/>
              <w:spacing w:after="240"/>
              <w:rPr>
                <w:rFonts w:ascii="Arial Black" w:hAnsi="Arial Black" w:cs="Arial"/>
              </w:rPr>
            </w:pPr>
            <w:r w:rsidRPr="00B9638F">
              <w:rPr>
                <w:rFonts w:ascii="Arial Black" w:hAnsi="Arial Black" w:cs="Arial"/>
              </w:rPr>
              <w:t>Enclosures:</w:t>
            </w:r>
          </w:p>
        </w:tc>
        <w:tc>
          <w:tcPr>
            <w:tcW w:w="5054" w:type="dxa"/>
          </w:tcPr>
          <w:p w14:paraId="6668D730" w14:textId="752FF53F" w:rsidR="001C7E35" w:rsidRPr="00B9638F" w:rsidRDefault="009657D6" w:rsidP="00DB6C3D">
            <w:pPr>
              <w:pStyle w:val="Infotext"/>
              <w:rPr>
                <w:sz w:val="24"/>
                <w:szCs w:val="24"/>
              </w:rPr>
            </w:pPr>
            <w:r w:rsidRPr="00B9638F">
              <w:rPr>
                <w:rFonts w:cs="Arial"/>
                <w:sz w:val="24"/>
                <w:szCs w:val="24"/>
              </w:rPr>
              <w:t>None</w:t>
            </w:r>
          </w:p>
        </w:tc>
      </w:tr>
    </w:tbl>
    <w:p w14:paraId="27C48D26" w14:textId="5127F36A" w:rsidR="00333FAA" w:rsidRPr="00B9638F" w:rsidRDefault="00333FAA" w:rsidP="00C869F3">
      <w:pPr>
        <w:spacing w:after="480"/>
        <w:rPr>
          <w:rFonts w:cs="Arial"/>
        </w:rPr>
      </w:pPr>
    </w:p>
    <w:p w14:paraId="75A4310D" w14:textId="77777777" w:rsidR="00E4195C" w:rsidRPr="00B9638F" w:rsidRDefault="00E4195C" w:rsidP="00DE40B1">
      <w:pPr>
        <w:rPr>
          <w:rFonts w:cs="Arial"/>
          <w:szCs w:val="24"/>
        </w:rPr>
      </w:pPr>
    </w:p>
    <w:p w14:paraId="524A770C" w14:textId="77777777" w:rsidR="00EB04E7" w:rsidRPr="00B9638F" w:rsidRDefault="00EB04E7" w:rsidP="00DE40B1">
      <w:pPr>
        <w:rPr>
          <w:rFonts w:cs="Arial"/>
          <w:szCs w:val="24"/>
        </w:rPr>
      </w:pPr>
    </w:p>
    <w:p w14:paraId="01527BE5" w14:textId="77777777" w:rsidR="00DE40B1" w:rsidRPr="00B9638F" w:rsidRDefault="00DE40B1" w:rsidP="00DE40B1">
      <w:pPr>
        <w:rPr>
          <w:rFonts w:cs="Arial"/>
          <w:szCs w:val="24"/>
        </w:rPr>
      </w:pPr>
    </w:p>
    <w:p w14:paraId="1EB9A92E" w14:textId="77777777" w:rsidR="00925B82" w:rsidRPr="00B9638F" w:rsidRDefault="00925B82"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B9638F" w:rsidRPr="00B9638F" w14:paraId="39320826" w14:textId="77777777" w:rsidTr="00221A93">
        <w:trPr>
          <w:tblHeader/>
        </w:trPr>
        <w:tc>
          <w:tcPr>
            <w:tcW w:w="8525" w:type="dxa"/>
            <w:tcBorders>
              <w:top w:val="nil"/>
              <w:left w:val="nil"/>
              <w:right w:val="nil"/>
            </w:tcBorders>
          </w:tcPr>
          <w:p w14:paraId="3A67BFB3" w14:textId="77777777" w:rsidR="00333FAA" w:rsidRPr="00B9638F" w:rsidRDefault="00333FAA" w:rsidP="00605A4C">
            <w:pPr>
              <w:pStyle w:val="Heading2"/>
              <w:spacing w:after="240"/>
            </w:pPr>
            <w:r w:rsidRPr="00B9638F">
              <w:lastRenderedPageBreak/>
              <w:t>Section 1 – Summary and Recommendations</w:t>
            </w:r>
          </w:p>
        </w:tc>
      </w:tr>
      <w:tr w:rsidR="00B9638F" w:rsidRPr="00B9638F" w14:paraId="5D78E563" w14:textId="77777777" w:rsidTr="00221A93">
        <w:trPr>
          <w:tblHeader/>
        </w:trPr>
        <w:tc>
          <w:tcPr>
            <w:tcW w:w="8525" w:type="dxa"/>
          </w:tcPr>
          <w:p w14:paraId="5C2FB96A" w14:textId="24F2AC59" w:rsidR="0000689B" w:rsidRPr="00B9638F" w:rsidRDefault="006D4B1F" w:rsidP="00605A4C">
            <w:pPr>
              <w:rPr>
                <w:rFonts w:cs="Arial"/>
                <w:szCs w:val="24"/>
              </w:rPr>
            </w:pPr>
            <w:r w:rsidRPr="00B9638F">
              <w:rPr>
                <w:rFonts w:cs="Arial"/>
                <w:szCs w:val="24"/>
              </w:rPr>
              <w:t xml:space="preserve">This report provides Cabinet </w:t>
            </w:r>
            <w:r w:rsidR="00F25F28" w:rsidRPr="00B9638F">
              <w:rPr>
                <w:rFonts w:cs="Arial"/>
                <w:szCs w:val="24"/>
              </w:rPr>
              <w:t>with information on</w:t>
            </w:r>
            <w:r w:rsidR="00B83451" w:rsidRPr="00B9638F">
              <w:rPr>
                <w:rFonts w:cs="Arial"/>
                <w:szCs w:val="24"/>
              </w:rPr>
              <w:t xml:space="preserve"> </w:t>
            </w:r>
            <w:r w:rsidR="00C63C2D" w:rsidRPr="00B9638F">
              <w:rPr>
                <w:rFonts w:cs="Arial"/>
                <w:szCs w:val="24"/>
              </w:rPr>
              <w:t>two</w:t>
            </w:r>
            <w:r w:rsidR="00B83451" w:rsidRPr="00B9638F">
              <w:rPr>
                <w:rFonts w:cs="Arial"/>
                <w:szCs w:val="24"/>
              </w:rPr>
              <w:t xml:space="preserve"> aspect</w:t>
            </w:r>
            <w:r w:rsidR="003C7575" w:rsidRPr="00B9638F">
              <w:rPr>
                <w:rFonts w:cs="Arial"/>
                <w:szCs w:val="24"/>
              </w:rPr>
              <w:t>s</w:t>
            </w:r>
            <w:r w:rsidR="00B83451" w:rsidRPr="00B9638F">
              <w:rPr>
                <w:rFonts w:cs="Arial"/>
                <w:szCs w:val="24"/>
              </w:rPr>
              <w:t xml:space="preserve"> of</w:t>
            </w:r>
            <w:r w:rsidR="00F25F28" w:rsidRPr="00B9638F">
              <w:rPr>
                <w:rFonts w:cs="Arial"/>
                <w:szCs w:val="24"/>
              </w:rPr>
              <w:t xml:space="preserve"> the </w:t>
            </w:r>
            <w:r w:rsidR="00C43B54" w:rsidRPr="00B9638F">
              <w:rPr>
                <w:rFonts w:cs="Arial"/>
                <w:szCs w:val="24"/>
              </w:rPr>
              <w:t xml:space="preserve">emerging </w:t>
            </w:r>
            <w:r w:rsidR="00F25F28" w:rsidRPr="00B9638F">
              <w:rPr>
                <w:rFonts w:cs="Arial"/>
                <w:szCs w:val="24"/>
              </w:rPr>
              <w:t xml:space="preserve">Adult </w:t>
            </w:r>
            <w:r w:rsidR="00B41D6E" w:rsidRPr="00B9638F">
              <w:rPr>
                <w:rFonts w:cs="Arial"/>
                <w:szCs w:val="24"/>
              </w:rPr>
              <w:t>S</w:t>
            </w:r>
            <w:r w:rsidR="00F25F28" w:rsidRPr="00B9638F">
              <w:rPr>
                <w:rFonts w:cs="Arial"/>
                <w:szCs w:val="24"/>
              </w:rPr>
              <w:t xml:space="preserve">ocial </w:t>
            </w:r>
            <w:r w:rsidR="00B41D6E" w:rsidRPr="00B9638F">
              <w:rPr>
                <w:rFonts w:cs="Arial"/>
                <w:szCs w:val="24"/>
              </w:rPr>
              <w:t>C</w:t>
            </w:r>
            <w:r w:rsidR="00F25F28" w:rsidRPr="00B9638F">
              <w:rPr>
                <w:rFonts w:cs="Arial"/>
                <w:szCs w:val="24"/>
              </w:rPr>
              <w:t xml:space="preserve">are bedded care strategy </w:t>
            </w:r>
            <w:r w:rsidR="00D8407A" w:rsidRPr="00B9638F">
              <w:rPr>
                <w:rFonts w:cs="Arial"/>
                <w:szCs w:val="24"/>
              </w:rPr>
              <w:t>– to increase the use of block provision</w:t>
            </w:r>
            <w:r w:rsidR="00BB6A77" w:rsidRPr="00B9638F">
              <w:rPr>
                <w:rFonts w:cs="Arial"/>
                <w:szCs w:val="24"/>
              </w:rPr>
              <w:t xml:space="preserve"> </w:t>
            </w:r>
            <w:r w:rsidR="009A2CF9" w:rsidRPr="00B9638F">
              <w:rPr>
                <w:rFonts w:cs="Arial"/>
                <w:szCs w:val="24"/>
              </w:rPr>
              <w:t>for</w:t>
            </w:r>
            <w:r w:rsidR="00366F00" w:rsidRPr="00B9638F">
              <w:rPr>
                <w:rFonts w:cs="Arial"/>
                <w:szCs w:val="24"/>
              </w:rPr>
              <w:t xml:space="preserve"> bedded care </w:t>
            </w:r>
            <w:r w:rsidR="006D376F" w:rsidRPr="00B9638F">
              <w:rPr>
                <w:rFonts w:cs="Arial"/>
                <w:szCs w:val="24"/>
              </w:rPr>
              <w:t xml:space="preserve">and </w:t>
            </w:r>
            <w:r w:rsidRPr="00B9638F">
              <w:rPr>
                <w:rFonts w:cs="Arial"/>
                <w:szCs w:val="24"/>
              </w:rPr>
              <w:t xml:space="preserve">the commissioning of a Care and Wellbeing Service </w:t>
            </w:r>
            <w:r w:rsidR="00F25F28" w:rsidRPr="00B9638F">
              <w:rPr>
                <w:rFonts w:cs="Arial"/>
                <w:szCs w:val="24"/>
              </w:rPr>
              <w:t xml:space="preserve">for the new extra care provision </w:t>
            </w:r>
            <w:r w:rsidR="00DA20AC" w:rsidRPr="00B9638F">
              <w:rPr>
                <w:rFonts w:cs="Arial"/>
                <w:szCs w:val="24"/>
              </w:rPr>
              <w:t>at Kodak East.</w:t>
            </w:r>
          </w:p>
          <w:p w14:paraId="02274D72" w14:textId="77777777" w:rsidR="001C7E35" w:rsidRPr="00B64F31" w:rsidRDefault="00605A4C" w:rsidP="00E13BEF">
            <w:pPr>
              <w:pStyle w:val="Heading3"/>
              <w:spacing w:before="240"/>
            </w:pPr>
            <w:r w:rsidRPr="00B64F31">
              <w:t>Recommen</w:t>
            </w:r>
            <w:r w:rsidR="001C7E35" w:rsidRPr="00B64F31">
              <w:t xml:space="preserve">dations: </w:t>
            </w:r>
          </w:p>
          <w:p w14:paraId="38D2B60D" w14:textId="053F4CD1" w:rsidR="001C7E35" w:rsidRPr="00B9638F" w:rsidRDefault="001C7E35" w:rsidP="00605A4C">
            <w:pPr>
              <w:rPr>
                <w:szCs w:val="24"/>
              </w:rPr>
            </w:pPr>
            <w:r w:rsidRPr="00B9638F">
              <w:rPr>
                <w:szCs w:val="24"/>
              </w:rPr>
              <w:t>Cabinet is requested to:</w:t>
            </w:r>
          </w:p>
          <w:p w14:paraId="6872A825" w14:textId="77777777" w:rsidR="000B4CFB" w:rsidRPr="00B9638F" w:rsidRDefault="000B4CFB" w:rsidP="00605A4C">
            <w:pPr>
              <w:rPr>
                <w:szCs w:val="24"/>
              </w:rPr>
            </w:pPr>
          </w:p>
          <w:p w14:paraId="484A56C2" w14:textId="78328B98" w:rsidR="000B4CFB" w:rsidRPr="00B9638F" w:rsidRDefault="00C706C1" w:rsidP="0032474F">
            <w:pPr>
              <w:pStyle w:val="ListParagraph"/>
              <w:numPr>
                <w:ilvl w:val="0"/>
                <w:numId w:val="4"/>
              </w:numPr>
              <w:rPr>
                <w:rFonts w:eastAsia="Arial" w:cs="Arial"/>
                <w:szCs w:val="24"/>
              </w:rPr>
            </w:pPr>
            <w:r w:rsidRPr="00B9638F">
              <w:rPr>
                <w:rFonts w:cs="Arial"/>
                <w:szCs w:val="24"/>
                <w:lang w:eastAsia="en-GB"/>
              </w:rPr>
              <w:t xml:space="preserve">Delegate authority to the Corporate Director </w:t>
            </w:r>
            <w:r w:rsidR="00B64F31">
              <w:rPr>
                <w:rFonts w:cs="Arial"/>
                <w:szCs w:val="24"/>
                <w:lang w:eastAsia="en-GB"/>
              </w:rPr>
              <w:t xml:space="preserve">of </w:t>
            </w:r>
            <w:r w:rsidRPr="00B9638F">
              <w:rPr>
                <w:rFonts w:cs="Arial"/>
                <w:szCs w:val="24"/>
                <w:lang w:eastAsia="en-GB"/>
              </w:rPr>
              <w:t xml:space="preserve">People </w:t>
            </w:r>
            <w:r w:rsidR="00BC2D1D" w:rsidRPr="00B9638F">
              <w:rPr>
                <w:rFonts w:cs="Arial"/>
                <w:szCs w:val="24"/>
                <w:lang w:eastAsia="en-GB"/>
              </w:rPr>
              <w:t xml:space="preserve">following </w:t>
            </w:r>
            <w:r w:rsidR="00320DB6" w:rsidRPr="00B9638F">
              <w:t xml:space="preserve">consultation with </w:t>
            </w:r>
            <w:r w:rsidR="00C60088" w:rsidRPr="00B9638F">
              <w:t xml:space="preserve">the Section </w:t>
            </w:r>
            <w:r w:rsidR="00CF14AC" w:rsidRPr="00B9638F">
              <w:t>1</w:t>
            </w:r>
            <w:r w:rsidR="00320DB6" w:rsidRPr="00B9638F">
              <w:t xml:space="preserve">51 </w:t>
            </w:r>
            <w:r w:rsidR="00C60088" w:rsidRPr="00B9638F">
              <w:t>O</w:t>
            </w:r>
            <w:r w:rsidR="00320DB6" w:rsidRPr="00B9638F">
              <w:t>fficer and the Portfolio Holder</w:t>
            </w:r>
            <w:r w:rsidR="00E21DE8" w:rsidRPr="00B9638F">
              <w:t xml:space="preserve"> </w:t>
            </w:r>
            <w:r w:rsidR="00B371C4" w:rsidRPr="00B9638F">
              <w:t xml:space="preserve">for Adults and </w:t>
            </w:r>
            <w:r w:rsidR="002369E7" w:rsidRPr="00B9638F">
              <w:t xml:space="preserve">Public Health </w:t>
            </w:r>
            <w:r w:rsidR="000B4CFB" w:rsidRPr="00B9638F">
              <w:t xml:space="preserve">and the Portfolio Holder for Finance and </w:t>
            </w:r>
            <w:r w:rsidR="00B64F31">
              <w:t xml:space="preserve">Human </w:t>
            </w:r>
            <w:r w:rsidR="000B4CFB" w:rsidRPr="00B9638F">
              <w:t xml:space="preserve">Resources </w:t>
            </w:r>
            <w:r w:rsidR="00E21DE8" w:rsidRPr="00B9638F">
              <w:rPr>
                <w:szCs w:val="24"/>
              </w:rPr>
              <w:t xml:space="preserve">to </w:t>
            </w:r>
            <w:r w:rsidR="000B4CFB" w:rsidRPr="00B9638F">
              <w:rPr>
                <w:szCs w:val="24"/>
              </w:rPr>
              <w:t xml:space="preserve">compliantly award contracts to </w:t>
            </w:r>
            <w:r w:rsidR="00E21DE8" w:rsidRPr="00B9638F">
              <w:rPr>
                <w:szCs w:val="24"/>
              </w:rPr>
              <w:t xml:space="preserve">providers to secure </w:t>
            </w:r>
            <w:r w:rsidR="0004419C" w:rsidRPr="00B9638F">
              <w:rPr>
                <w:szCs w:val="24"/>
              </w:rPr>
              <w:t xml:space="preserve">a block </w:t>
            </w:r>
            <w:r w:rsidR="003C4DE7" w:rsidRPr="00B9638F">
              <w:rPr>
                <w:szCs w:val="24"/>
              </w:rPr>
              <w:t>con</w:t>
            </w:r>
            <w:r w:rsidR="00E21DE8" w:rsidRPr="00B9638F">
              <w:rPr>
                <w:szCs w:val="24"/>
              </w:rPr>
              <w:t>tract</w:t>
            </w:r>
            <w:r w:rsidR="0004419C" w:rsidRPr="00B9638F">
              <w:rPr>
                <w:szCs w:val="24"/>
              </w:rPr>
              <w:t xml:space="preserve"> model</w:t>
            </w:r>
            <w:r w:rsidR="00E21DE8" w:rsidRPr="00B9638F">
              <w:rPr>
                <w:szCs w:val="24"/>
              </w:rPr>
              <w:t xml:space="preserve"> for bedded care</w:t>
            </w:r>
            <w:r w:rsidR="0027517C" w:rsidRPr="00B9638F">
              <w:t>.</w:t>
            </w:r>
          </w:p>
          <w:p w14:paraId="3333C015" w14:textId="00BF5C73" w:rsidR="00DE7C32" w:rsidRPr="00B9638F" w:rsidRDefault="00320DB6" w:rsidP="004262FC">
            <w:pPr>
              <w:pStyle w:val="ListParagraph"/>
              <w:rPr>
                <w:rFonts w:eastAsia="Arial" w:cs="Arial"/>
                <w:szCs w:val="24"/>
              </w:rPr>
            </w:pPr>
            <w:r w:rsidRPr="00B9638F">
              <w:t xml:space="preserve"> </w:t>
            </w:r>
          </w:p>
          <w:p w14:paraId="7F9369EE" w14:textId="52700C29" w:rsidR="000B4CFB" w:rsidRPr="00B9638F" w:rsidRDefault="008B3E36" w:rsidP="00CA7800">
            <w:pPr>
              <w:pStyle w:val="ListParagraph"/>
              <w:numPr>
                <w:ilvl w:val="0"/>
                <w:numId w:val="4"/>
              </w:numPr>
              <w:rPr>
                <w:rFonts w:eastAsia="Arial" w:cs="Arial"/>
                <w:szCs w:val="24"/>
              </w:rPr>
            </w:pPr>
            <w:r w:rsidRPr="00B9638F">
              <w:rPr>
                <w:szCs w:val="24"/>
              </w:rPr>
              <w:t xml:space="preserve">Approve </w:t>
            </w:r>
            <w:r w:rsidR="00CA7800" w:rsidRPr="00B9638F">
              <w:rPr>
                <w:szCs w:val="24"/>
              </w:rPr>
              <w:t xml:space="preserve">the commencement of the procurement of a provider for the </w:t>
            </w:r>
            <w:r w:rsidR="00BC6B77" w:rsidRPr="00B9638F">
              <w:rPr>
                <w:szCs w:val="24"/>
              </w:rPr>
              <w:t>C</w:t>
            </w:r>
            <w:r w:rsidR="00CA7800" w:rsidRPr="00B9638F">
              <w:rPr>
                <w:szCs w:val="24"/>
              </w:rPr>
              <w:t xml:space="preserve">are and </w:t>
            </w:r>
            <w:r w:rsidR="00BC6B77" w:rsidRPr="00B9638F">
              <w:rPr>
                <w:szCs w:val="24"/>
              </w:rPr>
              <w:t>W</w:t>
            </w:r>
            <w:r w:rsidR="00CA7800" w:rsidRPr="00B9638F">
              <w:rPr>
                <w:szCs w:val="24"/>
              </w:rPr>
              <w:t xml:space="preserve">ellbeing </w:t>
            </w:r>
            <w:r w:rsidR="00BC6B77" w:rsidRPr="00B9638F">
              <w:rPr>
                <w:szCs w:val="24"/>
              </w:rPr>
              <w:t>S</w:t>
            </w:r>
            <w:r w:rsidR="00CA7800" w:rsidRPr="00B9638F">
              <w:rPr>
                <w:szCs w:val="24"/>
              </w:rPr>
              <w:t xml:space="preserve">ervice </w:t>
            </w:r>
            <w:r w:rsidR="00BC6B77" w:rsidRPr="00B9638F">
              <w:rPr>
                <w:szCs w:val="24"/>
              </w:rPr>
              <w:t>for t</w:t>
            </w:r>
            <w:r w:rsidR="00CA7800" w:rsidRPr="00B9638F">
              <w:rPr>
                <w:szCs w:val="24"/>
              </w:rPr>
              <w:t xml:space="preserve">he new Extra Care scheme </w:t>
            </w:r>
            <w:r w:rsidR="005557BB" w:rsidRPr="00B9638F">
              <w:rPr>
                <w:szCs w:val="24"/>
              </w:rPr>
              <w:t>at</w:t>
            </w:r>
            <w:r w:rsidR="00CA7800" w:rsidRPr="00B9638F">
              <w:rPr>
                <w:szCs w:val="24"/>
              </w:rPr>
              <w:t xml:space="preserve"> Harrow View East</w:t>
            </w:r>
            <w:r w:rsidRPr="00B9638F">
              <w:rPr>
                <w:szCs w:val="24"/>
              </w:rPr>
              <w:t xml:space="preserve"> (Kodak East)</w:t>
            </w:r>
            <w:r w:rsidR="00CA7800" w:rsidRPr="00B9638F">
              <w:rPr>
                <w:szCs w:val="24"/>
              </w:rPr>
              <w:t>.</w:t>
            </w:r>
          </w:p>
          <w:p w14:paraId="7A7974D1" w14:textId="66EF260B" w:rsidR="00CA7800" w:rsidRPr="00B9638F" w:rsidRDefault="00CA7800" w:rsidP="004262FC">
            <w:pPr>
              <w:pStyle w:val="ListParagraph"/>
              <w:rPr>
                <w:rFonts w:eastAsia="Arial" w:cs="Arial"/>
                <w:szCs w:val="24"/>
              </w:rPr>
            </w:pPr>
            <w:r w:rsidRPr="00B9638F">
              <w:rPr>
                <w:szCs w:val="24"/>
              </w:rPr>
              <w:t xml:space="preserve"> </w:t>
            </w:r>
          </w:p>
          <w:p w14:paraId="4D6CF95C" w14:textId="5385ECF6" w:rsidR="00BC6B77" w:rsidRPr="00B9638F" w:rsidRDefault="00CA7800" w:rsidP="00BC6B77">
            <w:pPr>
              <w:pStyle w:val="ListParagraph"/>
              <w:numPr>
                <w:ilvl w:val="0"/>
                <w:numId w:val="4"/>
              </w:numPr>
              <w:rPr>
                <w:rFonts w:eastAsia="Arial" w:cs="Arial"/>
                <w:szCs w:val="24"/>
              </w:rPr>
            </w:pPr>
            <w:r w:rsidRPr="00B9638F">
              <w:rPr>
                <w:rFonts w:cs="Arial"/>
                <w:szCs w:val="24"/>
                <w:lang w:eastAsia="en-GB"/>
              </w:rPr>
              <w:t xml:space="preserve">Delegate authority to the Corporate Director </w:t>
            </w:r>
            <w:r w:rsidR="00B64F31">
              <w:rPr>
                <w:rFonts w:cs="Arial"/>
                <w:szCs w:val="24"/>
                <w:lang w:eastAsia="en-GB"/>
              </w:rPr>
              <w:t xml:space="preserve">of </w:t>
            </w:r>
            <w:r w:rsidRPr="00B9638F">
              <w:rPr>
                <w:rFonts w:cs="Arial"/>
                <w:szCs w:val="24"/>
                <w:lang w:eastAsia="en-GB"/>
              </w:rPr>
              <w:t xml:space="preserve">People following </w:t>
            </w:r>
            <w:r w:rsidRPr="00B9638F">
              <w:t>consultation with</w:t>
            </w:r>
            <w:r w:rsidR="007B5A57" w:rsidRPr="00B9638F">
              <w:t xml:space="preserve"> the Section 151 Officer</w:t>
            </w:r>
            <w:r w:rsidRPr="00B9638F">
              <w:t xml:space="preserve"> the Portfolio Holder for Adults and Public Health</w:t>
            </w:r>
            <w:r w:rsidR="00E071E8" w:rsidRPr="00B9638F">
              <w:t xml:space="preserve"> and the Portfolio Holder for Finance and </w:t>
            </w:r>
            <w:r w:rsidR="00B64F31">
              <w:t xml:space="preserve">Human </w:t>
            </w:r>
            <w:r w:rsidR="00E071E8" w:rsidRPr="00B9638F">
              <w:t>Resources</w:t>
            </w:r>
            <w:r w:rsidRPr="00B9638F">
              <w:t xml:space="preserve"> </w:t>
            </w:r>
            <w:r w:rsidRPr="00B9638F">
              <w:rPr>
                <w:szCs w:val="24"/>
              </w:rPr>
              <w:t xml:space="preserve">to award the contract for </w:t>
            </w:r>
            <w:r w:rsidR="00BC6B77" w:rsidRPr="00B9638F">
              <w:rPr>
                <w:szCs w:val="24"/>
              </w:rPr>
              <w:t>the new Extra Care scheme at Harrow View East</w:t>
            </w:r>
            <w:r w:rsidR="008B3E36" w:rsidRPr="00B9638F">
              <w:rPr>
                <w:szCs w:val="24"/>
              </w:rPr>
              <w:t xml:space="preserve"> (Kodak East)</w:t>
            </w:r>
            <w:r w:rsidR="00BC6B77" w:rsidRPr="00B9638F">
              <w:rPr>
                <w:szCs w:val="24"/>
              </w:rPr>
              <w:t xml:space="preserve">. </w:t>
            </w:r>
          </w:p>
          <w:p w14:paraId="47469972" w14:textId="68A70FDE" w:rsidR="00CA7800" w:rsidRPr="00B9638F" w:rsidRDefault="00CA7800" w:rsidP="00CA7800">
            <w:pPr>
              <w:pStyle w:val="ListParagraph"/>
              <w:rPr>
                <w:rFonts w:eastAsia="Arial" w:cs="Arial"/>
                <w:szCs w:val="24"/>
              </w:rPr>
            </w:pPr>
          </w:p>
          <w:p w14:paraId="7545F797" w14:textId="3D45BA12" w:rsidR="00F86696" w:rsidRPr="00B9638F" w:rsidRDefault="00E13BEF" w:rsidP="00004CE9">
            <w:r w:rsidRPr="00B64F31">
              <w:rPr>
                <w:b/>
                <w:bCs/>
                <w:sz w:val="28"/>
                <w:szCs w:val="28"/>
              </w:rPr>
              <w:t>Reason</w:t>
            </w:r>
            <w:r w:rsidR="00B64F31" w:rsidRPr="00B64F31">
              <w:rPr>
                <w:b/>
                <w:bCs/>
                <w:sz w:val="28"/>
                <w:szCs w:val="28"/>
              </w:rPr>
              <w:t xml:space="preserve"> (for the recommendations)</w:t>
            </w:r>
            <w:r w:rsidRPr="00B64F31">
              <w:rPr>
                <w:b/>
                <w:bCs/>
                <w:sz w:val="28"/>
                <w:szCs w:val="28"/>
              </w:rPr>
              <w:t>:</w:t>
            </w:r>
            <w:r w:rsidRPr="00B64F31">
              <w:rPr>
                <w:sz w:val="28"/>
                <w:szCs w:val="28"/>
              </w:rPr>
              <w:t xml:space="preserve"> </w:t>
            </w:r>
            <w:r w:rsidR="00F86696" w:rsidRPr="00B9638F">
              <w:t xml:space="preserve">To </w:t>
            </w:r>
            <w:r w:rsidR="00AF267D" w:rsidRPr="00B9638F">
              <w:rPr>
                <w:rFonts w:cs="Arial"/>
                <w:szCs w:val="24"/>
              </w:rPr>
              <w:t xml:space="preserve">increase the use of block provision for bedded care </w:t>
            </w:r>
            <w:r w:rsidR="004826B1" w:rsidRPr="00B9638F">
              <w:t xml:space="preserve">and </w:t>
            </w:r>
            <w:r w:rsidR="00F86696" w:rsidRPr="00B9638F">
              <w:t xml:space="preserve">increase Extra Care housing provision in Harrow. </w:t>
            </w:r>
          </w:p>
          <w:p w14:paraId="313BC81E" w14:textId="18385CBC" w:rsidR="00333FAA" w:rsidRPr="00B9638F" w:rsidRDefault="00333FAA" w:rsidP="001233A7">
            <w:pPr>
              <w:pStyle w:val="Heading3"/>
              <w:ind w:left="0" w:firstLine="0"/>
              <w:jc w:val="left"/>
              <w:rPr>
                <w:sz w:val="24"/>
                <w:szCs w:val="24"/>
              </w:rPr>
            </w:pPr>
          </w:p>
        </w:tc>
      </w:tr>
    </w:tbl>
    <w:p w14:paraId="0204F38A" w14:textId="77777777" w:rsidR="00333FAA" w:rsidRPr="00B9638F" w:rsidRDefault="00333FAA" w:rsidP="00F06E4E">
      <w:pPr>
        <w:pStyle w:val="Heading2"/>
        <w:spacing w:before="480"/>
      </w:pPr>
      <w:r w:rsidRPr="00B9638F">
        <w:t>Section 2 – Report</w:t>
      </w:r>
    </w:p>
    <w:p w14:paraId="76168D48" w14:textId="77777777" w:rsidR="001C7E35" w:rsidRPr="00B9638F" w:rsidRDefault="001C7E35" w:rsidP="00F06E4E">
      <w:pPr>
        <w:pStyle w:val="Heading3"/>
        <w:spacing w:before="240"/>
      </w:pPr>
      <w:r w:rsidRPr="00B9638F">
        <w:t>Introductory paragraph</w:t>
      </w:r>
    </w:p>
    <w:p w14:paraId="29C03C5E" w14:textId="2CFE6091" w:rsidR="00C2666A" w:rsidRPr="00B9638F" w:rsidRDefault="004826B1" w:rsidP="0032474F">
      <w:pPr>
        <w:pStyle w:val="ListParagraph"/>
        <w:numPr>
          <w:ilvl w:val="0"/>
          <w:numId w:val="6"/>
        </w:numPr>
        <w:ind w:left="567" w:hanging="567"/>
      </w:pPr>
      <w:r w:rsidRPr="00B9638F">
        <w:t>Harrow has an ag</w:t>
      </w:r>
      <w:r w:rsidR="00370C72" w:rsidRPr="00B9638F">
        <w:t>e</w:t>
      </w:r>
      <w:r w:rsidRPr="00B9638F">
        <w:t xml:space="preserve">ing population and </w:t>
      </w:r>
      <w:r w:rsidR="00CD4626" w:rsidRPr="00B9638F">
        <w:t xml:space="preserve">is experiencing </w:t>
      </w:r>
      <w:r w:rsidR="00062EB8" w:rsidRPr="00B9638F">
        <w:t xml:space="preserve">an increase in </w:t>
      </w:r>
      <w:r w:rsidR="00021052" w:rsidRPr="00B9638F">
        <w:t xml:space="preserve">demand for </w:t>
      </w:r>
      <w:r w:rsidR="00021AE1" w:rsidRPr="00B9638F">
        <w:t xml:space="preserve">adult social care including older people and </w:t>
      </w:r>
      <w:r w:rsidR="00062EB8" w:rsidRPr="00B9638F">
        <w:t>citizens with dementia</w:t>
      </w:r>
      <w:r w:rsidR="006645D0" w:rsidRPr="00B9638F">
        <w:t xml:space="preserve">. </w:t>
      </w:r>
      <w:r w:rsidR="00D07183" w:rsidRPr="00B9638F">
        <w:t>T</w:t>
      </w:r>
      <w:r w:rsidR="00025A29" w:rsidRPr="00B9638F">
        <w:t>o</w:t>
      </w:r>
      <w:r w:rsidR="00D07183" w:rsidRPr="00B9638F">
        <w:t xml:space="preserve"> ensure that </w:t>
      </w:r>
      <w:r w:rsidR="00025A29" w:rsidRPr="00B9638F">
        <w:t xml:space="preserve">there are alternative options to residential placements </w:t>
      </w:r>
      <w:r w:rsidR="0040219C" w:rsidRPr="00B9638F">
        <w:t xml:space="preserve">for older people </w:t>
      </w:r>
      <w:r w:rsidR="00025A29" w:rsidRPr="00B9638F">
        <w:t xml:space="preserve">the Council has </w:t>
      </w:r>
      <w:r w:rsidR="005A754C" w:rsidRPr="00B9638F">
        <w:t xml:space="preserve">agreed an Extra Care Strategy and is developing its approach to </w:t>
      </w:r>
      <w:r w:rsidR="0064526B" w:rsidRPr="00B9638F">
        <w:t>commissioning placements for people with dementia to secure quality</w:t>
      </w:r>
      <w:r w:rsidR="008B3E36" w:rsidRPr="00B9638F">
        <w:t xml:space="preserve"> care</w:t>
      </w:r>
      <w:r w:rsidR="0064526B" w:rsidRPr="00B9638F">
        <w:t xml:space="preserve"> </w:t>
      </w:r>
      <w:r w:rsidR="00FF436D" w:rsidRPr="00B9638F">
        <w:t>at an affordable price</w:t>
      </w:r>
      <w:r w:rsidR="0040219C" w:rsidRPr="00B9638F">
        <w:t xml:space="preserve"> through the </w:t>
      </w:r>
      <w:r w:rsidR="00AB49CE" w:rsidRPr="00B9638F">
        <w:t xml:space="preserve">evolving </w:t>
      </w:r>
      <w:r w:rsidR="0040219C" w:rsidRPr="00B9638F">
        <w:t>Bedded Care Strategy</w:t>
      </w:r>
      <w:r w:rsidR="00B1623B" w:rsidRPr="00B9638F">
        <w:t>.</w:t>
      </w:r>
    </w:p>
    <w:p w14:paraId="6AEA5381" w14:textId="19B112C5" w:rsidR="00C2666A" w:rsidRPr="00B9638F" w:rsidRDefault="00C2666A" w:rsidP="004D3DCA">
      <w:pPr>
        <w:ind w:left="567" w:hanging="567"/>
      </w:pPr>
    </w:p>
    <w:p w14:paraId="3929D147" w14:textId="33CFDF5D" w:rsidR="00B1623B" w:rsidRPr="00B9638F" w:rsidRDefault="00B1623B" w:rsidP="0032474F">
      <w:pPr>
        <w:pStyle w:val="ListParagraph"/>
        <w:numPr>
          <w:ilvl w:val="0"/>
          <w:numId w:val="6"/>
        </w:numPr>
        <w:ind w:left="567" w:hanging="567"/>
      </w:pPr>
      <w:r w:rsidRPr="00B9638F">
        <w:t xml:space="preserve">Together the Extra Care strategy and </w:t>
      </w:r>
      <w:r w:rsidR="00B8354B" w:rsidRPr="00B9638F">
        <w:t>emerging</w:t>
      </w:r>
      <w:r w:rsidR="00AB49CE" w:rsidRPr="00B9638F">
        <w:t xml:space="preserve"> Bedded Care </w:t>
      </w:r>
      <w:r w:rsidR="006617DD" w:rsidRPr="00B9638F">
        <w:t>S</w:t>
      </w:r>
      <w:r w:rsidR="00AB49CE" w:rsidRPr="00B9638F">
        <w:t xml:space="preserve">trategy will contribute to the </w:t>
      </w:r>
      <w:r w:rsidR="00B8354B" w:rsidRPr="00B9638F">
        <w:t>Council’s</w:t>
      </w:r>
      <w:r w:rsidR="00AB49CE" w:rsidRPr="00B9638F">
        <w:t xml:space="preserve"> priorities of Putting Residents First by pro</w:t>
      </w:r>
      <w:r w:rsidR="00E42272" w:rsidRPr="00B9638F">
        <w:t xml:space="preserve">viding choice for extra care and </w:t>
      </w:r>
      <w:r w:rsidR="00B8354B" w:rsidRPr="00B9638F">
        <w:t xml:space="preserve">securing </w:t>
      </w:r>
      <w:r w:rsidR="002E17D8" w:rsidRPr="00B9638F">
        <w:t xml:space="preserve">quality provision for </w:t>
      </w:r>
      <w:r w:rsidR="006617DD" w:rsidRPr="00B9638F">
        <w:t>dementia.</w:t>
      </w:r>
    </w:p>
    <w:p w14:paraId="74EDC387" w14:textId="77777777" w:rsidR="00165ADB" w:rsidRPr="00B9638F" w:rsidRDefault="00165ADB" w:rsidP="00165ADB">
      <w:pPr>
        <w:pStyle w:val="ListParagraph"/>
      </w:pPr>
    </w:p>
    <w:p w14:paraId="291A6EC1" w14:textId="41B23263" w:rsidR="003B142D" w:rsidRPr="00B9638F" w:rsidRDefault="00AC693C" w:rsidP="00172240">
      <w:pPr>
        <w:pStyle w:val="ListParagraph"/>
        <w:numPr>
          <w:ilvl w:val="0"/>
          <w:numId w:val="6"/>
        </w:numPr>
        <w:ind w:left="567" w:hanging="567"/>
      </w:pPr>
      <w:r w:rsidRPr="00B9638F">
        <w:rPr>
          <w:szCs w:val="24"/>
        </w:rPr>
        <w:t xml:space="preserve">The </w:t>
      </w:r>
      <w:r w:rsidR="00165ADB" w:rsidRPr="00B9638F">
        <w:rPr>
          <w:szCs w:val="24"/>
        </w:rPr>
        <w:t>Adult Social Reforms White Paper</w:t>
      </w:r>
      <w:r w:rsidR="00483250" w:rsidRPr="00B9638F">
        <w:rPr>
          <w:rFonts w:cs="Arial"/>
          <w:szCs w:val="24"/>
        </w:rPr>
        <w:t>, P</w:t>
      </w:r>
      <w:r w:rsidR="00483250" w:rsidRPr="00B9638F">
        <w:rPr>
          <w:rFonts w:cs="Arial"/>
          <w:lang w:val="en"/>
        </w:rPr>
        <w:t xml:space="preserve">eople at the Heart of Care, published in March 2022, sets out an ambitious 10-year vision for how the Government  will transform support and care in England. There are a </w:t>
      </w:r>
      <w:r w:rsidR="00483250" w:rsidRPr="00B9638F">
        <w:rPr>
          <w:rFonts w:cs="Arial"/>
          <w:lang w:val="en"/>
        </w:rPr>
        <w:lastRenderedPageBreak/>
        <w:t xml:space="preserve">range of policies to implement over the first three years including </w:t>
      </w:r>
      <w:r w:rsidR="00483250" w:rsidRPr="00B9638F">
        <w:rPr>
          <w:rFonts w:cs="Arial"/>
          <w:szCs w:val="24"/>
          <w:lang w:eastAsia="en-GB"/>
        </w:rPr>
        <w:t>support for</w:t>
      </w:r>
      <w:r w:rsidR="007A43B0" w:rsidRPr="00B9638F">
        <w:rPr>
          <w:rFonts w:cs="Arial"/>
          <w:szCs w:val="24"/>
          <w:lang w:eastAsia="en-GB"/>
        </w:rPr>
        <w:t xml:space="preserve"> local authorities to ensure that their local care market is</w:t>
      </w:r>
      <w:r w:rsidR="00E36703" w:rsidRPr="00B9638F">
        <w:rPr>
          <w:rFonts w:cs="Arial"/>
          <w:szCs w:val="24"/>
          <w:lang w:eastAsia="en-GB"/>
        </w:rPr>
        <w:t xml:space="preserve"> sustainable</w:t>
      </w:r>
      <w:r w:rsidR="007A43B0" w:rsidRPr="00B9638F">
        <w:rPr>
          <w:rFonts w:cs="Arial"/>
          <w:szCs w:val="24"/>
          <w:lang w:eastAsia="en-GB"/>
        </w:rPr>
        <w:t xml:space="preserve"> </w:t>
      </w:r>
      <w:r w:rsidR="00E36703" w:rsidRPr="00B9638F">
        <w:rPr>
          <w:rFonts w:cs="Arial"/>
          <w:szCs w:val="24"/>
          <w:lang w:eastAsia="en-GB"/>
        </w:rPr>
        <w:t xml:space="preserve">where </w:t>
      </w:r>
      <w:r w:rsidR="00E36703" w:rsidRPr="00B9638F">
        <w:rPr>
          <w:rFonts w:cs="Arial"/>
          <w:lang w:val="en"/>
        </w:rPr>
        <w:t>providers are paid a fair rate for care, which encourages diversity of provider models, prioritises outcomes, and enables people to have a wide range of high-quality care and support options to choose from that provide personalised support to live a fulfilling life</w:t>
      </w:r>
      <w:r w:rsidR="00E36703" w:rsidRPr="00B9638F">
        <w:rPr>
          <w:rFonts w:ascii="GDS Transport" w:hAnsi="GDS Transport"/>
          <w:lang w:val="en"/>
        </w:rPr>
        <w:t>.</w:t>
      </w:r>
      <w:r w:rsidR="00B35D62" w:rsidRPr="00B9638F">
        <w:rPr>
          <w:rFonts w:cs="Arial"/>
          <w:szCs w:val="24"/>
          <w:lang w:eastAsia="en-GB"/>
        </w:rPr>
        <w:t xml:space="preserve"> </w:t>
      </w:r>
      <w:r w:rsidR="00BB0EE3" w:rsidRPr="00B9638F">
        <w:rPr>
          <w:szCs w:val="24"/>
        </w:rPr>
        <w:t xml:space="preserve">The Council has started its </w:t>
      </w:r>
      <w:r w:rsidR="0005455E" w:rsidRPr="00B9638F">
        <w:rPr>
          <w:szCs w:val="24"/>
        </w:rPr>
        <w:t xml:space="preserve">Cost of Care </w:t>
      </w:r>
      <w:r w:rsidR="00DA693B" w:rsidRPr="00B9638F">
        <w:rPr>
          <w:szCs w:val="24"/>
        </w:rPr>
        <w:t>R</w:t>
      </w:r>
      <w:r w:rsidR="0005455E" w:rsidRPr="00B9638F">
        <w:rPr>
          <w:szCs w:val="24"/>
        </w:rPr>
        <w:t>eview of the local market</w:t>
      </w:r>
      <w:r w:rsidR="00DA693B" w:rsidRPr="00B9638F">
        <w:rPr>
          <w:szCs w:val="24"/>
        </w:rPr>
        <w:t xml:space="preserve">, </w:t>
      </w:r>
      <w:r w:rsidR="00021AE1" w:rsidRPr="00B9638F">
        <w:rPr>
          <w:szCs w:val="24"/>
        </w:rPr>
        <w:t xml:space="preserve">along </w:t>
      </w:r>
      <w:r w:rsidR="00DA693B" w:rsidRPr="00B9638F">
        <w:rPr>
          <w:szCs w:val="24"/>
        </w:rPr>
        <w:t>with all local autho</w:t>
      </w:r>
      <w:r w:rsidR="002F1E2D" w:rsidRPr="00B9638F">
        <w:rPr>
          <w:szCs w:val="24"/>
        </w:rPr>
        <w:t>rities</w:t>
      </w:r>
      <w:r w:rsidR="004B50B5" w:rsidRPr="00B9638F">
        <w:rPr>
          <w:szCs w:val="24"/>
        </w:rPr>
        <w:t>.</w:t>
      </w:r>
      <w:r w:rsidR="002F1E2D" w:rsidRPr="00B9638F">
        <w:rPr>
          <w:szCs w:val="24"/>
        </w:rPr>
        <w:t xml:space="preserve"> </w:t>
      </w:r>
      <w:r w:rsidR="00DA693B" w:rsidRPr="00B9638F">
        <w:rPr>
          <w:szCs w:val="24"/>
        </w:rPr>
        <w:t xml:space="preserve">Harrow will publish its </w:t>
      </w:r>
      <w:r w:rsidR="007C7273" w:rsidRPr="00B9638F">
        <w:rPr>
          <w:szCs w:val="24"/>
        </w:rPr>
        <w:t>Market Sustainability Plan in February 2023</w:t>
      </w:r>
      <w:r w:rsidR="009003F9" w:rsidRPr="00B9638F">
        <w:rPr>
          <w:szCs w:val="24"/>
        </w:rPr>
        <w:t xml:space="preserve"> as part of the </w:t>
      </w:r>
      <w:r w:rsidR="00733FBB" w:rsidRPr="00B9638F">
        <w:rPr>
          <w:szCs w:val="24"/>
        </w:rPr>
        <w:t>White Paper reforms</w:t>
      </w:r>
      <w:r w:rsidR="00420F3F" w:rsidRPr="00B9638F">
        <w:rPr>
          <w:szCs w:val="24"/>
        </w:rPr>
        <w:t xml:space="preserve">. </w:t>
      </w:r>
      <w:r w:rsidR="003B142D" w:rsidRPr="00B9638F">
        <w:rPr>
          <w:rFonts w:cs="Arial"/>
          <w:szCs w:val="24"/>
        </w:rPr>
        <w:t>The proposals in this report are in line with the vision set out in the White Paper.</w:t>
      </w:r>
    </w:p>
    <w:p w14:paraId="6E9AAB4C" w14:textId="77777777" w:rsidR="003B142D" w:rsidRPr="00B9638F" w:rsidRDefault="003B142D" w:rsidP="003B142D"/>
    <w:p w14:paraId="4C7962A3" w14:textId="391FFC41" w:rsidR="006F689A" w:rsidRPr="00B9638F" w:rsidRDefault="001A2E27" w:rsidP="006035D9">
      <w:pPr>
        <w:pStyle w:val="ListParagraph"/>
        <w:numPr>
          <w:ilvl w:val="0"/>
          <w:numId w:val="6"/>
        </w:numPr>
        <w:ind w:left="567" w:hanging="567"/>
      </w:pPr>
      <w:r w:rsidRPr="00B9638F">
        <w:t xml:space="preserve">This report provides </w:t>
      </w:r>
      <w:r w:rsidR="004A09E8" w:rsidRPr="00B9638F">
        <w:t>Cabinet</w:t>
      </w:r>
      <w:r w:rsidRPr="00B9638F">
        <w:t xml:space="preserve"> with </w:t>
      </w:r>
      <w:r w:rsidR="004A09E8" w:rsidRPr="00B9638F">
        <w:t xml:space="preserve">details </w:t>
      </w:r>
      <w:r w:rsidR="00271E3A" w:rsidRPr="00B9638F">
        <w:t xml:space="preserve">on the </w:t>
      </w:r>
      <w:r w:rsidR="007B3BB8" w:rsidRPr="00B9638F">
        <w:t>opportunity t</w:t>
      </w:r>
      <w:r w:rsidR="00D723F6" w:rsidRPr="00B9638F">
        <w:t xml:space="preserve">o </w:t>
      </w:r>
      <w:r w:rsidR="00D723F6" w:rsidRPr="00B9638F">
        <w:rPr>
          <w:rFonts w:cs="Arial"/>
          <w:szCs w:val="24"/>
        </w:rPr>
        <w:t xml:space="preserve">increase the use of block provision for older people and dementia bedded care </w:t>
      </w:r>
      <w:r w:rsidR="004A09E8" w:rsidRPr="00B9638F">
        <w:t xml:space="preserve">and </w:t>
      </w:r>
      <w:r w:rsidR="00527AA1" w:rsidRPr="00B9638F">
        <w:t xml:space="preserve">the next phase of the Extra Care Strategy. </w:t>
      </w:r>
    </w:p>
    <w:p w14:paraId="67C9ED7D" w14:textId="77777777" w:rsidR="006F689A" w:rsidRPr="00B9638F" w:rsidRDefault="006F689A" w:rsidP="006F689A">
      <w:pPr>
        <w:pStyle w:val="ListParagraph"/>
        <w:rPr>
          <w:rFonts w:cs="Arial"/>
          <w:szCs w:val="24"/>
        </w:rPr>
      </w:pPr>
    </w:p>
    <w:p w14:paraId="65879C4B" w14:textId="1DED2612" w:rsidR="00CE3D3E" w:rsidRPr="00B9638F" w:rsidRDefault="008612A2" w:rsidP="006035D9">
      <w:pPr>
        <w:pStyle w:val="ListParagraph"/>
        <w:numPr>
          <w:ilvl w:val="0"/>
          <w:numId w:val="6"/>
        </w:numPr>
        <w:ind w:left="567" w:hanging="567"/>
      </w:pPr>
      <w:r w:rsidRPr="00B9638F">
        <w:rPr>
          <w:rFonts w:cs="Arial"/>
          <w:szCs w:val="24"/>
        </w:rPr>
        <w:t xml:space="preserve">These </w:t>
      </w:r>
      <w:r w:rsidR="00120ED3" w:rsidRPr="00B9638F">
        <w:rPr>
          <w:rFonts w:cs="Arial"/>
          <w:szCs w:val="24"/>
        </w:rPr>
        <w:t xml:space="preserve">two elements contribute to the creation of a future </w:t>
      </w:r>
      <w:r w:rsidR="000A5152" w:rsidRPr="00B9638F">
        <w:rPr>
          <w:rFonts w:cs="Arial"/>
          <w:szCs w:val="24"/>
        </w:rPr>
        <w:t xml:space="preserve">bedded care </w:t>
      </w:r>
      <w:r w:rsidR="00D96FE3" w:rsidRPr="00B9638F">
        <w:rPr>
          <w:rFonts w:cs="Arial"/>
          <w:szCs w:val="24"/>
        </w:rPr>
        <w:t>strategy</w:t>
      </w:r>
      <w:r w:rsidR="00186B23" w:rsidRPr="00B9638F">
        <w:rPr>
          <w:rFonts w:cs="Arial"/>
          <w:szCs w:val="24"/>
        </w:rPr>
        <w:t xml:space="preserve">. </w:t>
      </w:r>
      <w:r w:rsidR="00120ED3" w:rsidRPr="00B9638F">
        <w:rPr>
          <w:rFonts w:cs="Arial"/>
          <w:szCs w:val="24"/>
        </w:rPr>
        <w:t>in the strategy will include other elements which are in</w:t>
      </w:r>
      <w:r w:rsidR="001E0ECE" w:rsidRPr="00B9638F">
        <w:rPr>
          <w:rFonts w:cs="Arial"/>
          <w:szCs w:val="24"/>
        </w:rPr>
        <w:t xml:space="preserve"> development such as a supported living accreditation scheme</w:t>
      </w:r>
      <w:r w:rsidR="00814362" w:rsidRPr="00B9638F">
        <w:rPr>
          <w:rFonts w:cs="Arial"/>
          <w:szCs w:val="24"/>
        </w:rPr>
        <w:t xml:space="preserve">, the possible future development of block provision </w:t>
      </w:r>
      <w:r w:rsidR="00555E36" w:rsidRPr="00B9638F">
        <w:rPr>
          <w:rFonts w:cs="Arial"/>
          <w:szCs w:val="24"/>
        </w:rPr>
        <w:t>f</w:t>
      </w:r>
      <w:r w:rsidR="002638D0" w:rsidRPr="00B9638F">
        <w:rPr>
          <w:rFonts w:cs="Arial"/>
          <w:szCs w:val="24"/>
        </w:rPr>
        <w:t>or</w:t>
      </w:r>
      <w:r w:rsidR="00555E36" w:rsidRPr="00B9638F">
        <w:rPr>
          <w:rFonts w:cs="Arial"/>
          <w:szCs w:val="24"/>
        </w:rPr>
        <w:t xml:space="preserve"> other client groups </w:t>
      </w:r>
      <w:r w:rsidR="00A06351" w:rsidRPr="00B9638F">
        <w:rPr>
          <w:rFonts w:cs="Arial"/>
          <w:szCs w:val="24"/>
        </w:rPr>
        <w:t>including but not exclusively</w:t>
      </w:r>
      <w:r w:rsidR="00555E36" w:rsidRPr="00B9638F">
        <w:rPr>
          <w:rFonts w:cs="Arial"/>
          <w:szCs w:val="24"/>
        </w:rPr>
        <w:t xml:space="preserve"> learning disability and mental healt</w:t>
      </w:r>
      <w:r w:rsidR="00D202BC" w:rsidRPr="00B9638F">
        <w:rPr>
          <w:rFonts w:cs="Arial"/>
          <w:szCs w:val="24"/>
        </w:rPr>
        <w:t>h</w:t>
      </w:r>
      <w:r w:rsidR="004D1B41" w:rsidRPr="00B9638F">
        <w:rPr>
          <w:rFonts w:cs="Arial"/>
          <w:szCs w:val="24"/>
        </w:rPr>
        <w:t xml:space="preserve">, </w:t>
      </w:r>
      <w:r w:rsidR="007A0B0B" w:rsidRPr="00B9638F">
        <w:rPr>
          <w:rFonts w:cs="Arial"/>
          <w:szCs w:val="24"/>
        </w:rPr>
        <w:t>and</w:t>
      </w:r>
      <w:r w:rsidR="00D227DD" w:rsidRPr="00B9638F">
        <w:rPr>
          <w:rFonts w:cs="Arial"/>
          <w:szCs w:val="24"/>
        </w:rPr>
        <w:t xml:space="preserve"> the consideration of any appropriate frameworks o</w:t>
      </w:r>
      <w:r w:rsidR="007A0B0B" w:rsidRPr="00B9638F">
        <w:rPr>
          <w:rFonts w:cs="Arial"/>
          <w:szCs w:val="24"/>
        </w:rPr>
        <w:t>r</w:t>
      </w:r>
      <w:r w:rsidR="00D227DD" w:rsidRPr="00B9638F">
        <w:rPr>
          <w:rFonts w:cs="Arial"/>
          <w:szCs w:val="24"/>
        </w:rPr>
        <w:t xml:space="preserve"> Dynamic Purchase vehicles.</w:t>
      </w:r>
    </w:p>
    <w:p w14:paraId="6C34F938" w14:textId="77777777" w:rsidR="00D96FE3" w:rsidRPr="00B9638F" w:rsidRDefault="00D96FE3" w:rsidP="00D96FE3"/>
    <w:p w14:paraId="0A078380" w14:textId="77777777" w:rsidR="00AD1E77" w:rsidRPr="00B9638F" w:rsidRDefault="001C7E35" w:rsidP="00A1211C">
      <w:pPr>
        <w:pStyle w:val="Heading3"/>
        <w:spacing w:before="240"/>
        <w:ind w:left="0" w:firstLine="0"/>
        <w:jc w:val="left"/>
      </w:pPr>
      <w:r w:rsidRPr="00B9638F">
        <w:t xml:space="preserve">Options considered  </w:t>
      </w:r>
    </w:p>
    <w:p w14:paraId="6C867719" w14:textId="31F2F99D" w:rsidR="001362D2" w:rsidRPr="00B9638F" w:rsidRDefault="001362D2" w:rsidP="0032474F">
      <w:pPr>
        <w:pStyle w:val="Heading2"/>
        <w:numPr>
          <w:ilvl w:val="0"/>
          <w:numId w:val="6"/>
        </w:numPr>
        <w:spacing w:before="240"/>
        <w:ind w:left="567" w:hanging="567"/>
        <w:rPr>
          <w:rFonts w:ascii="Arial" w:hAnsi="Arial"/>
          <w:b w:val="0"/>
          <w:bCs w:val="0"/>
          <w:sz w:val="24"/>
          <w:szCs w:val="24"/>
        </w:rPr>
      </w:pPr>
      <w:r w:rsidRPr="00B9638F">
        <w:rPr>
          <w:rFonts w:ascii="Arial" w:hAnsi="Arial"/>
          <w:b w:val="0"/>
          <w:bCs w:val="0"/>
          <w:sz w:val="24"/>
          <w:szCs w:val="24"/>
        </w:rPr>
        <w:t xml:space="preserve">The following options have been considered: </w:t>
      </w:r>
    </w:p>
    <w:p w14:paraId="515EC730" w14:textId="77777777" w:rsidR="0065288A" w:rsidRPr="00B9638F" w:rsidRDefault="0065288A" w:rsidP="004D3DCA">
      <w:pPr>
        <w:ind w:left="567" w:hanging="567"/>
      </w:pPr>
    </w:p>
    <w:p w14:paraId="18876061" w14:textId="77777777" w:rsidR="00062EB8" w:rsidRPr="00B9638F" w:rsidRDefault="00062EB8" w:rsidP="004D3DCA">
      <w:pPr>
        <w:pStyle w:val="Heading2"/>
        <w:tabs>
          <w:tab w:val="num" w:pos="720"/>
        </w:tabs>
        <w:ind w:left="567"/>
        <w:rPr>
          <w:rFonts w:ascii="Arial" w:hAnsi="Arial"/>
          <w:b w:val="0"/>
          <w:bCs w:val="0"/>
          <w:sz w:val="24"/>
          <w:szCs w:val="24"/>
        </w:rPr>
      </w:pPr>
      <w:r w:rsidRPr="00B9638F">
        <w:rPr>
          <w:rFonts w:ascii="Arial" w:hAnsi="Arial"/>
          <w:b w:val="0"/>
          <w:bCs w:val="0"/>
          <w:sz w:val="24"/>
          <w:szCs w:val="24"/>
        </w:rPr>
        <w:t>Option 1:</w:t>
      </w:r>
    </w:p>
    <w:p w14:paraId="7D93FB1B" w14:textId="2D41D38A" w:rsidR="001362D2" w:rsidRPr="00B9638F" w:rsidRDefault="001362D2" w:rsidP="004D3DCA">
      <w:pPr>
        <w:pStyle w:val="Heading2"/>
        <w:ind w:left="567"/>
        <w:rPr>
          <w:rFonts w:ascii="Arial" w:hAnsi="Arial"/>
          <w:b w:val="0"/>
          <w:bCs w:val="0"/>
          <w:sz w:val="24"/>
          <w:szCs w:val="24"/>
        </w:rPr>
      </w:pPr>
      <w:r w:rsidRPr="00B9638F">
        <w:rPr>
          <w:rFonts w:ascii="Arial" w:hAnsi="Arial"/>
          <w:b w:val="0"/>
          <w:bCs w:val="0"/>
          <w:sz w:val="24"/>
          <w:szCs w:val="24"/>
        </w:rPr>
        <w:t>Do Nothing – this will not enable the Council to meet the demands of an ageing population</w:t>
      </w:r>
      <w:r w:rsidR="006947C8" w:rsidRPr="00B9638F">
        <w:rPr>
          <w:rFonts w:ascii="Arial" w:hAnsi="Arial"/>
          <w:b w:val="0"/>
          <w:bCs w:val="0"/>
          <w:sz w:val="24"/>
          <w:szCs w:val="24"/>
        </w:rPr>
        <w:t xml:space="preserve">, secure financial </w:t>
      </w:r>
      <w:r w:rsidR="00025A29" w:rsidRPr="00B9638F">
        <w:rPr>
          <w:rFonts w:ascii="Arial" w:hAnsi="Arial"/>
          <w:b w:val="0"/>
          <w:bCs w:val="0"/>
          <w:sz w:val="24"/>
          <w:szCs w:val="24"/>
        </w:rPr>
        <w:t>efficiencies</w:t>
      </w:r>
      <w:r w:rsidRPr="00B9638F">
        <w:rPr>
          <w:rFonts w:ascii="Arial" w:hAnsi="Arial"/>
          <w:b w:val="0"/>
          <w:bCs w:val="0"/>
          <w:sz w:val="24"/>
          <w:szCs w:val="24"/>
        </w:rPr>
        <w:t xml:space="preserve"> and improve outcomes for older citizens within the current challenging financial context. Therefore, </w:t>
      </w:r>
      <w:r w:rsidR="007E5FB8" w:rsidRPr="00B9638F">
        <w:rPr>
          <w:rFonts w:ascii="Arial" w:hAnsi="Arial"/>
          <w:b w:val="0"/>
          <w:bCs w:val="0"/>
          <w:sz w:val="24"/>
          <w:szCs w:val="24"/>
        </w:rPr>
        <w:t xml:space="preserve">a </w:t>
      </w:r>
      <w:r w:rsidRPr="00B9638F">
        <w:rPr>
          <w:rFonts w:ascii="Arial" w:hAnsi="Arial"/>
          <w:b w:val="0"/>
          <w:bCs w:val="0"/>
          <w:sz w:val="24"/>
          <w:szCs w:val="24"/>
        </w:rPr>
        <w:t>new approach</w:t>
      </w:r>
      <w:r w:rsidR="007E5FB8" w:rsidRPr="00B9638F">
        <w:rPr>
          <w:rFonts w:ascii="Arial" w:hAnsi="Arial"/>
          <w:b w:val="0"/>
          <w:bCs w:val="0"/>
          <w:sz w:val="24"/>
          <w:szCs w:val="24"/>
        </w:rPr>
        <w:t xml:space="preserve"> is </w:t>
      </w:r>
      <w:r w:rsidRPr="00B9638F">
        <w:rPr>
          <w:rFonts w:ascii="Arial" w:hAnsi="Arial"/>
          <w:b w:val="0"/>
          <w:bCs w:val="0"/>
          <w:sz w:val="24"/>
          <w:szCs w:val="24"/>
        </w:rPr>
        <w:t xml:space="preserve">required to be considered. </w:t>
      </w:r>
    </w:p>
    <w:p w14:paraId="4167C72E" w14:textId="77777777" w:rsidR="0065288A" w:rsidRPr="00B9638F" w:rsidRDefault="0065288A" w:rsidP="004D3DCA">
      <w:pPr>
        <w:ind w:left="567" w:hanging="567"/>
      </w:pPr>
    </w:p>
    <w:p w14:paraId="46944197" w14:textId="77777777" w:rsidR="00062EB8" w:rsidRPr="00B9638F" w:rsidRDefault="00062EB8" w:rsidP="004D3DCA">
      <w:pPr>
        <w:pStyle w:val="Heading2"/>
        <w:tabs>
          <w:tab w:val="num" w:pos="720"/>
        </w:tabs>
        <w:ind w:left="567"/>
        <w:rPr>
          <w:rFonts w:ascii="Arial" w:hAnsi="Arial"/>
          <w:b w:val="0"/>
          <w:bCs w:val="0"/>
          <w:sz w:val="24"/>
          <w:szCs w:val="24"/>
        </w:rPr>
      </w:pPr>
      <w:r w:rsidRPr="00B9638F">
        <w:rPr>
          <w:rFonts w:ascii="Arial" w:hAnsi="Arial"/>
          <w:b w:val="0"/>
          <w:bCs w:val="0"/>
          <w:sz w:val="24"/>
          <w:szCs w:val="24"/>
        </w:rPr>
        <w:t>Option 2:</w:t>
      </w:r>
    </w:p>
    <w:p w14:paraId="311532EB" w14:textId="2F8F666C" w:rsidR="001362D2" w:rsidRPr="00B9638F" w:rsidRDefault="00C46294" w:rsidP="004D3DCA">
      <w:pPr>
        <w:pStyle w:val="Heading2"/>
        <w:tabs>
          <w:tab w:val="num" w:pos="720"/>
        </w:tabs>
        <w:ind w:left="567"/>
        <w:rPr>
          <w:rFonts w:ascii="Arial" w:hAnsi="Arial"/>
          <w:b w:val="0"/>
          <w:bCs w:val="0"/>
          <w:sz w:val="24"/>
          <w:szCs w:val="24"/>
        </w:rPr>
      </w:pPr>
      <w:r w:rsidRPr="00B9638F">
        <w:rPr>
          <w:rFonts w:ascii="Arial" w:hAnsi="Arial"/>
          <w:b w:val="0"/>
          <w:bCs w:val="0"/>
          <w:sz w:val="24"/>
          <w:szCs w:val="24"/>
        </w:rPr>
        <w:t xml:space="preserve">Procure a </w:t>
      </w:r>
      <w:r w:rsidR="00926B12" w:rsidRPr="00B9638F">
        <w:rPr>
          <w:rFonts w:ascii="Arial" w:hAnsi="Arial"/>
          <w:b w:val="0"/>
          <w:bCs w:val="0"/>
          <w:sz w:val="24"/>
          <w:szCs w:val="24"/>
        </w:rPr>
        <w:t>C</w:t>
      </w:r>
      <w:r w:rsidRPr="00B9638F">
        <w:rPr>
          <w:rFonts w:ascii="Arial" w:hAnsi="Arial"/>
          <w:b w:val="0"/>
          <w:bCs w:val="0"/>
          <w:sz w:val="24"/>
          <w:szCs w:val="24"/>
        </w:rPr>
        <w:t xml:space="preserve">are and </w:t>
      </w:r>
      <w:r w:rsidR="00926B12" w:rsidRPr="00B9638F">
        <w:rPr>
          <w:rFonts w:ascii="Arial" w:hAnsi="Arial"/>
          <w:b w:val="0"/>
          <w:bCs w:val="0"/>
          <w:sz w:val="24"/>
          <w:szCs w:val="24"/>
        </w:rPr>
        <w:t>W</w:t>
      </w:r>
      <w:r w:rsidRPr="00B9638F">
        <w:rPr>
          <w:rFonts w:ascii="Arial" w:hAnsi="Arial"/>
          <w:b w:val="0"/>
          <w:bCs w:val="0"/>
          <w:sz w:val="24"/>
          <w:szCs w:val="24"/>
        </w:rPr>
        <w:t>ellbeing provider to contribute to the availability of extra care provision in Harrow</w:t>
      </w:r>
      <w:r w:rsidR="001362D2" w:rsidRPr="00B9638F">
        <w:rPr>
          <w:rFonts w:ascii="Arial" w:hAnsi="Arial"/>
          <w:b w:val="0"/>
          <w:bCs w:val="0"/>
          <w:sz w:val="24"/>
          <w:szCs w:val="24"/>
        </w:rPr>
        <w:t xml:space="preserve">. Extra care housing offers an alternative to costly residential care and is more appropriate and cost effective in meeting needs and maintaining health and wellbeing. </w:t>
      </w:r>
      <w:r w:rsidR="007E5FB8" w:rsidRPr="00B9638F">
        <w:rPr>
          <w:rFonts w:ascii="Arial" w:hAnsi="Arial"/>
          <w:b w:val="0"/>
          <w:bCs w:val="0"/>
          <w:sz w:val="24"/>
          <w:szCs w:val="24"/>
        </w:rPr>
        <w:t>Offering s</w:t>
      </w:r>
      <w:r w:rsidR="00062EB8" w:rsidRPr="00B9638F">
        <w:rPr>
          <w:rFonts w:ascii="Arial" w:hAnsi="Arial"/>
          <w:b w:val="0"/>
          <w:bCs w:val="0"/>
          <w:sz w:val="24"/>
          <w:szCs w:val="24"/>
        </w:rPr>
        <w:t>ecure quality and cost</w:t>
      </w:r>
      <w:r w:rsidR="004B50B5" w:rsidRPr="00B9638F">
        <w:rPr>
          <w:rFonts w:ascii="Arial" w:hAnsi="Arial"/>
          <w:b w:val="0"/>
          <w:bCs w:val="0"/>
          <w:sz w:val="24"/>
          <w:szCs w:val="24"/>
        </w:rPr>
        <w:t>-</w:t>
      </w:r>
      <w:r w:rsidR="00062EB8" w:rsidRPr="00B9638F">
        <w:rPr>
          <w:rFonts w:ascii="Arial" w:hAnsi="Arial"/>
          <w:b w:val="0"/>
          <w:bCs w:val="0"/>
          <w:sz w:val="24"/>
          <w:szCs w:val="24"/>
        </w:rPr>
        <w:t>effective places for older people with dementia.</w:t>
      </w:r>
    </w:p>
    <w:p w14:paraId="63F5778E" w14:textId="77777777" w:rsidR="002A56D1" w:rsidRPr="00B9638F" w:rsidRDefault="002A56D1" w:rsidP="002A56D1"/>
    <w:p w14:paraId="154F41CF" w14:textId="321DA4E0" w:rsidR="001362D2" w:rsidRPr="00B9638F" w:rsidRDefault="001362D2" w:rsidP="0032474F">
      <w:pPr>
        <w:pStyle w:val="Heading2"/>
        <w:numPr>
          <w:ilvl w:val="0"/>
          <w:numId w:val="6"/>
        </w:numPr>
        <w:ind w:left="567" w:hanging="567"/>
        <w:rPr>
          <w:rFonts w:ascii="Arial" w:hAnsi="Arial"/>
          <w:b w:val="0"/>
          <w:bCs w:val="0"/>
          <w:sz w:val="24"/>
          <w:szCs w:val="24"/>
        </w:rPr>
      </w:pPr>
      <w:r w:rsidRPr="00B9638F">
        <w:rPr>
          <w:rFonts w:ascii="Arial" w:hAnsi="Arial"/>
          <w:b w:val="0"/>
          <w:bCs w:val="0"/>
          <w:sz w:val="24"/>
          <w:szCs w:val="24"/>
        </w:rPr>
        <w:t xml:space="preserve">Option 2 is the preferred option and is underpinned by the </w:t>
      </w:r>
      <w:r w:rsidR="0065288A" w:rsidRPr="00B9638F">
        <w:rPr>
          <w:rFonts w:ascii="Arial" w:hAnsi="Arial"/>
          <w:b w:val="0"/>
          <w:bCs w:val="0"/>
          <w:sz w:val="24"/>
          <w:szCs w:val="24"/>
        </w:rPr>
        <w:t xml:space="preserve">Extra Care and emerging </w:t>
      </w:r>
      <w:r w:rsidR="004D3DCA" w:rsidRPr="00B9638F">
        <w:rPr>
          <w:rFonts w:ascii="Arial" w:hAnsi="Arial"/>
          <w:b w:val="0"/>
          <w:bCs w:val="0"/>
          <w:sz w:val="24"/>
          <w:szCs w:val="24"/>
        </w:rPr>
        <w:t>B</w:t>
      </w:r>
      <w:r w:rsidR="0065288A" w:rsidRPr="00B9638F">
        <w:rPr>
          <w:rFonts w:ascii="Arial" w:hAnsi="Arial"/>
          <w:b w:val="0"/>
          <w:bCs w:val="0"/>
          <w:sz w:val="24"/>
          <w:szCs w:val="24"/>
        </w:rPr>
        <w:t xml:space="preserve">edded </w:t>
      </w:r>
      <w:r w:rsidR="004D3DCA" w:rsidRPr="00B9638F">
        <w:rPr>
          <w:rFonts w:ascii="Arial" w:hAnsi="Arial"/>
          <w:b w:val="0"/>
          <w:bCs w:val="0"/>
          <w:sz w:val="24"/>
          <w:szCs w:val="24"/>
        </w:rPr>
        <w:t>C</w:t>
      </w:r>
      <w:r w:rsidR="0065288A" w:rsidRPr="00B9638F">
        <w:rPr>
          <w:rFonts w:ascii="Arial" w:hAnsi="Arial"/>
          <w:b w:val="0"/>
          <w:bCs w:val="0"/>
          <w:sz w:val="24"/>
          <w:szCs w:val="24"/>
        </w:rPr>
        <w:t xml:space="preserve">are </w:t>
      </w:r>
      <w:r w:rsidRPr="00B9638F">
        <w:rPr>
          <w:rFonts w:ascii="Arial" w:hAnsi="Arial"/>
          <w:b w:val="0"/>
          <w:bCs w:val="0"/>
          <w:sz w:val="24"/>
          <w:szCs w:val="24"/>
        </w:rPr>
        <w:t>Strategy.</w:t>
      </w:r>
    </w:p>
    <w:p w14:paraId="17DEEF1A" w14:textId="77777777" w:rsidR="0095483A" w:rsidRPr="00B9638F" w:rsidRDefault="0095483A" w:rsidP="00A32EAF">
      <w:pPr>
        <w:pStyle w:val="Heading2"/>
        <w:rPr>
          <w:rFonts w:ascii="Arial" w:hAnsi="Arial"/>
          <w:sz w:val="28"/>
          <w:szCs w:val="28"/>
        </w:rPr>
      </w:pPr>
    </w:p>
    <w:p w14:paraId="2D92C5A0" w14:textId="40516D2F" w:rsidR="00A32EAF" w:rsidRPr="00B9638F" w:rsidRDefault="00A32EAF" w:rsidP="00A32EAF">
      <w:pPr>
        <w:pStyle w:val="Heading2"/>
        <w:rPr>
          <w:rFonts w:ascii="Arial" w:hAnsi="Arial"/>
          <w:sz w:val="28"/>
          <w:szCs w:val="28"/>
        </w:rPr>
      </w:pPr>
      <w:r w:rsidRPr="00B9638F">
        <w:rPr>
          <w:rFonts w:ascii="Arial" w:hAnsi="Arial"/>
          <w:sz w:val="28"/>
          <w:szCs w:val="28"/>
        </w:rPr>
        <w:t>Current situation</w:t>
      </w:r>
    </w:p>
    <w:p w14:paraId="0ED68722" w14:textId="6156624B" w:rsidR="006617DD" w:rsidRPr="00B9638F" w:rsidRDefault="006617DD" w:rsidP="004D3DCA">
      <w:pPr>
        <w:ind w:left="567" w:hanging="567"/>
      </w:pPr>
    </w:p>
    <w:p w14:paraId="4A05B103" w14:textId="3693FB85" w:rsidR="0017301B" w:rsidRPr="00B9638F" w:rsidRDefault="0017301B" w:rsidP="0017301B">
      <w:pPr>
        <w:ind w:left="1134" w:hanging="567"/>
        <w:rPr>
          <w:b/>
          <w:bCs/>
          <w:u w:val="single"/>
        </w:rPr>
      </w:pPr>
      <w:r w:rsidRPr="00B9638F">
        <w:rPr>
          <w:b/>
          <w:bCs/>
          <w:u w:val="single"/>
        </w:rPr>
        <w:t>Bedded Care</w:t>
      </w:r>
    </w:p>
    <w:p w14:paraId="74D90AF8" w14:textId="33069B3E" w:rsidR="00A32EAF" w:rsidRPr="00B9638F" w:rsidRDefault="00A32EAF" w:rsidP="0032474F">
      <w:pPr>
        <w:pStyle w:val="ListParagraph"/>
        <w:numPr>
          <w:ilvl w:val="0"/>
          <w:numId w:val="6"/>
        </w:numPr>
        <w:ind w:left="567" w:hanging="567"/>
        <w:rPr>
          <w:rFonts w:cs="Arial"/>
        </w:rPr>
      </w:pPr>
      <w:r w:rsidRPr="00B9638F">
        <w:rPr>
          <w:rFonts w:cs="Arial"/>
        </w:rPr>
        <w:t>The</w:t>
      </w:r>
      <w:r w:rsidR="00B97084" w:rsidRPr="00B9638F">
        <w:rPr>
          <w:rFonts w:cs="Arial"/>
        </w:rPr>
        <w:t xml:space="preserve"> bedded care market (r</w:t>
      </w:r>
      <w:r w:rsidRPr="00B9638F">
        <w:rPr>
          <w:rFonts w:cs="Arial"/>
        </w:rPr>
        <w:t xml:space="preserve">esidential and </w:t>
      </w:r>
      <w:r w:rsidR="00857BED" w:rsidRPr="00B9638F">
        <w:rPr>
          <w:rFonts w:cs="Arial"/>
        </w:rPr>
        <w:t>n</w:t>
      </w:r>
      <w:r w:rsidRPr="00B9638F">
        <w:rPr>
          <w:rFonts w:cs="Arial"/>
        </w:rPr>
        <w:t xml:space="preserve">ursing </w:t>
      </w:r>
      <w:r w:rsidR="00857BED" w:rsidRPr="00B9638F">
        <w:rPr>
          <w:rFonts w:cs="Arial"/>
        </w:rPr>
        <w:t>c</w:t>
      </w:r>
      <w:r w:rsidRPr="00B9638F">
        <w:rPr>
          <w:rFonts w:cs="Arial"/>
        </w:rPr>
        <w:t>are</w:t>
      </w:r>
      <w:r w:rsidR="00B97084" w:rsidRPr="00B9638F">
        <w:rPr>
          <w:rFonts w:cs="Arial"/>
        </w:rPr>
        <w:t xml:space="preserve">) </w:t>
      </w:r>
      <w:r w:rsidRPr="00B9638F">
        <w:rPr>
          <w:rFonts w:cs="Arial"/>
        </w:rPr>
        <w:t>in London is changing, exacerbated by the Covid-19 pandemic</w:t>
      </w:r>
      <w:r w:rsidR="004A2D80">
        <w:rPr>
          <w:rFonts w:cs="Arial"/>
        </w:rPr>
        <w:t xml:space="preserve">, </w:t>
      </w:r>
      <w:r w:rsidR="00DA6451" w:rsidRPr="00B9638F">
        <w:rPr>
          <w:rFonts w:cs="Arial"/>
        </w:rPr>
        <w:t xml:space="preserve">workforce and funding challenges. </w:t>
      </w:r>
      <w:r w:rsidRPr="00B9638F">
        <w:rPr>
          <w:rFonts w:cs="Arial"/>
        </w:rPr>
        <w:t xml:space="preserve">Harrow </w:t>
      </w:r>
      <w:r w:rsidR="00DA6451" w:rsidRPr="00B9638F">
        <w:rPr>
          <w:rFonts w:cs="Arial"/>
        </w:rPr>
        <w:t xml:space="preserve">currently relies </w:t>
      </w:r>
      <w:r w:rsidRPr="00B9638F">
        <w:rPr>
          <w:rFonts w:cs="Arial"/>
        </w:rPr>
        <w:t xml:space="preserve">on spot purchase placements and </w:t>
      </w:r>
      <w:r w:rsidR="00DA6451" w:rsidRPr="00B9638F">
        <w:rPr>
          <w:rFonts w:cs="Arial"/>
        </w:rPr>
        <w:t xml:space="preserve">is proposing to reduce its </w:t>
      </w:r>
      <w:r w:rsidR="004846EA" w:rsidRPr="00B9638F">
        <w:rPr>
          <w:rFonts w:cs="Arial"/>
        </w:rPr>
        <w:t>reliance</w:t>
      </w:r>
      <w:r w:rsidR="00DA6451" w:rsidRPr="00B9638F">
        <w:rPr>
          <w:rFonts w:cs="Arial"/>
        </w:rPr>
        <w:t xml:space="preserve"> </w:t>
      </w:r>
      <w:r w:rsidR="004846EA" w:rsidRPr="00B9638F">
        <w:rPr>
          <w:rFonts w:cs="Arial"/>
        </w:rPr>
        <w:t xml:space="preserve">on this approach through a </w:t>
      </w:r>
      <w:r w:rsidRPr="00B9638F">
        <w:rPr>
          <w:rFonts w:cs="Arial"/>
        </w:rPr>
        <w:t xml:space="preserve">move towards a </w:t>
      </w:r>
      <w:r w:rsidR="004846EA" w:rsidRPr="00B9638F">
        <w:rPr>
          <w:rFonts w:cs="Arial"/>
        </w:rPr>
        <w:t xml:space="preserve">Bedded Care </w:t>
      </w:r>
      <w:r w:rsidR="002D4D4D" w:rsidRPr="00B9638F">
        <w:rPr>
          <w:rFonts w:cs="Arial"/>
        </w:rPr>
        <w:t>S</w:t>
      </w:r>
      <w:r w:rsidRPr="00B9638F">
        <w:rPr>
          <w:rFonts w:cs="Arial"/>
        </w:rPr>
        <w:t xml:space="preserve">trategy that </w:t>
      </w:r>
      <w:r w:rsidR="00A5234A" w:rsidRPr="00B9638F">
        <w:rPr>
          <w:rFonts w:cs="Arial"/>
        </w:rPr>
        <w:t>works in</w:t>
      </w:r>
      <w:r w:rsidR="002D4D4D" w:rsidRPr="00B9638F">
        <w:rPr>
          <w:rFonts w:cs="Arial"/>
        </w:rPr>
        <w:t xml:space="preserve"> partnership with </w:t>
      </w:r>
      <w:r w:rsidR="00A5234A" w:rsidRPr="00B9638F">
        <w:rPr>
          <w:rFonts w:cs="Arial"/>
        </w:rPr>
        <w:t xml:space="preserve">providers </w:t>
      </w:r>
      <w:r w:rsidR="00A5234A" w:rsidRPr="00B9638F">
        <w:rPr>
          <w:rFonts w:cs="Arial"/>
        </w:rPr>
        <w:lastRenderedPageBreak/>
        <w:t xml:space="preserve">and </w:t>
      </w:r>
      <w:r w:rsidRPr="00B9638F">
        <w:rPr>
          <w:rFonts w:cs="Arial"/>
        </w:rPr>
        <w:t>focuses on putting in place block contracts which are aligned to a clear understanding of the Council’s anticipated needs in the future.</w:t>
      </w:r>
    </w:p>
    <w:p w14:paraId="2A4EAE2D" w14:textId="77777777" w:rsidR="00A32EAF" w:rsidRPr="00B9638F" w:rsidRDefault="00A32EAF" w:rsidP="004D3DCA">
      <w:pPr>
        <w:ind w:left="567" w:hanging="567"/>
        <w:rPr>
          <w:rFonts w:cs="Arial"/>
        </w:rPr>
      </w:pPr>
    </w:p>
    <w:p w14:paraId="11F95F93" w14:textId="6504C3B0" w:rsidR="0083646E" w:rsidRPr="00B9638F" w:rsidRDefault="007C4835" w:rsidP="00165148">
      <w:pPr>
        <w:pStyle w:val="ListParagraph"/>
        <w:numPr>
          <w:ilvl w:val="0"/>
          <w:numId w:val="6"/>
        </w:numPr>
        <w:ind w:left="567" w:hanging="567"/>
        <w:rPr>
          <w:rFonts w:cs="Arial"/>
        </w:rPr>
      </w:pPr>
      <w:r w:rsidRPr="00B9638F">
        <w:rPr>
          <w:rFonts w:cs="Arial"/>
        </w:rPr>
        <w:t xml:space="preserve">There are 30 residential care and nursing providers in the borough of Harrow with the capacity of 1,064 beds in total. </w:t>
      </w:r>
      <w:r w:rsidR="000A26E3" w:rsidRPr="00B9638F">
        <w:rPr>
          <w:rFonts w:cs="Arial"/>
        </w:rPr>
        <w:t xml:space="preserve">Harrow </w:t>
      </w:r>
      <w:r w:rsidR="00C33CFD" w:rsidRPr="00B9638F">
        <w:rPr>
          <w:rFonts w:cs="Arial"/>
        </w:rPr>
        <w:t xml:space="preserve">has </w:t>
      </w:r>
      <w:r w:rsidR="00EF52CA" w:rsidRPr="00B9638F">
        <w:rPr>
          <w:rFonts w:cs="Arial"/>
        </w:rPr>
        <w:t xml:space="preserve">approximately </w:t>
      </w:r>
      <w:r w:rsidR="00C33CFD" w:rsidRPr="00B9638F">
        <w:rPr>
          <w:rFonts w:cs="Arial"/>
        </w:rPr>
        <w:t xml:space="preserve">424 residential and nursing care placements, </w:t>
      </w:r>
      <w:r w:rsidR="00C33CFD" w:rsidRPr="00B9638F">
        <w:t>of which 215 are for dementia and 209 for non</w:t>
      </w:r>
      <w:r w:rsidR="00104F77" w:rsidRPr="00B9638F">
        <w:t>-</w:t>
      </w:r>
      <w:r w:rsidR="00C33CFD" w:rsidRPr="00B9638F">
        <w:t>dementia</w:t>
      </w:r>
      <w:r w:rsidR="009146FA" w:rsidRPr="00B9638F">
        <w:t xml:space="preserve"> both</w:t>
      </w:r>
      <w:r w:rsidR="00C33CFD" w:rsidRPr="00B9638F">
        <w:t xml:space="preserve"> in and out of borough. </w:t>
      </w:r>
      <w:r w:rsidR="00247D10" w:rsidRPr="00B9638F">
        <w:rPr>
          <w:rFonts w:cs="Arial"/>
        </w:rPr>
        <w:t>Other than a block of placements at Sancr</w:t>
      </w:r>
      <w:r w:rsidR="00813823" w:rsidRPr="00B9638F">
        <w:rPr>
          <w:rFonts w:cs="Arial"/>
        </w:rPr>
        <w:t>oft</w:t>
      </w:r>
      <w:r w:rsidR="009163EA" w:rsidRPr="00B9638F">
        <w:rPr>
          <w:rFonts w:cs="Arial"/>
        </w:rPr>
        <w:t xml:space="preserve"> Hall</w:t>
      </w:r>
      <w:r w:rsidR="00813823" w:rsidRPr="00B9638F">
        <w:rPr>
          <w:rFonts w:cs="Arial"/>
        </w:rPr>
        <w:t xml:space="preserve">, </w:t>
      </w:r>
      <w:r w:rsidR="0017186C" w:rsidRPr="00B9638F">
        <w:rPr>
          <w:rFonts w:cs="Arial"/>
          <w:szCs w:val="24"/>
        </w:rPr>
        <w:t xml:space="preserve">placements are </w:t>
      </w:r>
      <w:r w:rsidR="000A26E3" w:rsidRPr="00B9638F">
        <w:rPr>
          <w:rFonts w:cs="Arial"/>
          <w:szCs w:val="24"/>
        </w:rPr>
        <w:t>spot purchased</w:t>
      </w:r>
      <w:r w:rsidR="00AD093E" w:rsidRPr="00B9638F">
        <w:rPr>
          <w:rFonts w:cs="Arial"/>
          <w:szCs w:val="24"/>
        </w:rPr>
        <w:t>.</w:t>
      </w:r>
      <w:r w:rsidR="000727C4" w:rsidRPr="00B9638F">
        <w:rPr>
          <w:rFonts w:cs="Arial"/>
          <w:szCs w:val="24"/>
        </w:rPr>
        <w:t xml:space="preserve"> </w:t>
      </w:r>
    </w:p>
    <w:p w14:paraId="21881AEF" w14:textId="77777777" w:rsidR="00FE4675" w:rsidRPr="00B9638F" w:rsidRDefault="00FE4675" w:rsidP="00FE4675">
      <w:pPr>
        <w:pStyle w:val="ListParagraph"/>
        <w:rPr>
          <w:rFonts w:cs="Arial"/>
        </w:rPr>
      </w:pPr>
    </w:p>
    <w:p w14:paraId="02D431D3" w14:textId="7FFEF703" w:rsidR="00FE4675" w:rsidRPr="00B9638F" w:rsidRDefault="00FE4675" w:rsidP="00FE4675">
      <w:pPr>
        <w:pStyle w:val="ListParagraph"/>
        <w:numPr>
          <w:ilvl w:val="0"/>
          <w:numId w:val="6"/>
        </w:numPr>
        <w:ind w:left="567" w:hanging="567"/>
        <w:rPr>
          <w:rFonts w:cs="Arial"/>
          <w:sz w:val="22"/>
          <w:szCs w:val="22"/>
        </w:rPr>
      </w:pPr>
      <w:r w:rsidRPr="00B9638F">
        <w:rPr>
          <w:rFonts w:cs="Arial"/>
          <w:szCs w:val="24"/>
        </w:rPr>
        <w:t xml:space="preserve">The West London Alliance (WLA) </w:t>
      </w:r>
      <w:r w:rsidRPr="00B9638F">
        <w:rPr>
          <w:rFonts w:cs="Arial"/>
          <w:szCs w:val="24"/>
          <w:shd w:val="clear" w:color="auto" w:fill="FFFFFF"/>
        </w:rPr>
        <w:t>supports Local Authorities within West London in commissioning services for their most vulnerable residents across social care, education and housing. The WLA produce annual older people residential and nursing care home price bands for LAs in West London. Harrow aims to secure placements at the WLA rate wherever possible.</w:t>
      </w:r>
    </w:p>
    <w:p w14:paraId="63B174C4" w14:textId="77777777" w:rsidR="00D14807" w:rsidRPr="00B9638F" w:rsidRDefault="00D14807" w:rsidP="00D14807">
      <w:pPr>
        <w:rPr>
          <w:rFonts w:cs="Arial"/>
        </w:rPr>
      </w:pPr>
    </w:p>
    <w:p w14:paraId="7AC6A27B" w14:textId="77777777" w:rsidR="00332B35" w:rsidRPr="00B9638F" w:rsidRDefault="0008118A" w:rsidP="0032474F">
      <w:pPr>
        <w:pStyle w:val="ListParagraph"/>
        <w:numPr>
          <w:ilvl w:val="0"/>
          <w:numId w:val="6"/>
        </w:numPr>
        <w:ind w:left="567" w:hanging="567"/>
        <w:rPr>
          <w:rFonts w:cs="Arial"/>
        </w:rPr>
      </w:pPr>
      <w:r w:rsidRPr="00B9638F">
        <w:rPr>
          <w:rFonts w:cs="Arial"/>
        </w:rPr>
        <w:t xml:space="preserve">Each spot purchased placement is negotiated separately which </w:t>
      </w:r>
      <w:r w:rsidR="003D0EA5" w:rsidRPr="00B9638F">
        <w:rPr>
          <w:rFonts w:cs="Arial"/>
        </w:rPr>
        <w:t xml:space="preserve">means that </w:t>
      </w:r>
      <w:r w:rsidR="00C802EF" w:rsidRPr="00B9638F">
        <w:rPr>
          <w:rFonts w:cs="Arial"/>
        </w:rPr>
        <w:t>there is access to a wide market and the r</w:t>
      </w:r>
      <w:r w:rsidR="00332B35" w:rsidRPr="00B9638F">
        <w:rPr>
          <w:rFonts w:cs="Arial"/>
        </w:rPr>
        <w:t>i</w:t>
      </w:r>
      <w:r w:rsidR="00C802EF" w:rsidRPr="00B9638F">
        <w:rPr>
          <w:rFonts w:cs="Arial"/>
        </w:rPr>
        <w:t xml:space="preserve">sk of a void is with the provider.  However, </w:t>
      </w:r>
      <w:r w:rsidR="003D0EA5" w:rsidRPr="00B9638F">
        <w:rPr>
          <w:rFonts w:cs="Arial"/>
        </w:rPr>
        <w:t>costs and support vary based on providers and bed availability</w:t>
      </w:r>
      <w:r w:rsidR="00332B35" w:rsidRPr="00B9638F">
        <w:rPr>
          <w:rFonts w:cs="Arial"/>
        </w:rPr>
        <w:t>.</w:t>
      </w:r>
    </w:p>
    <w:p w14:paraId="07FBCF8C" w14:textId="77777777" w:rsidR="00332B35" w:rsidRPr="00B9638F" w:rsidRDefault="00332B35" w:rsidP="004D3DCA">
      <w:pPr>
        <w:ind w:left="567" w:hanging="567"/>
        <w:rPr>
          <w:rFonts w:cs="Arial"/>
        </w:rPr>
      </w:pPr>
    </w:p>
    <w:p w14:paraId="1B02239D" w14:textId="6255D0A0" w:rsidR="00A32EAF" w:rsidRPr="00B9638F" w:rsidRDefault="00A32EAF" w:rsidP="0032474F">
      <w:pPr>
        <w:pStyle w:val="ListParagraph"/>
        <w:numPr>
          <w:ilvl w:val="0"/>
          <w:numId w:val="6"/>
        </w:numPr>
        <w:ind w:left="567" w:hanging="567"/>
        <w:rPr>
          <w:rFonts w:cs="Arial"/>
        </w:rPr>
      </w:pPr>
      <w:r w:rsidRPr="00B9638F">
        <w:rPr>
          <w:rFonts w:cs="Arial"/>
        </w:rPr>
        <w:t xml:space="preserve">Block contracts promote stronger strategic relationships with commissioned </w:t>
      </w:r>
      <w:r w:rsidR="00BA7900" w:rsidRPr="00B9638F">
        <w:rPr>
          <w:rFonts w:cs="Arial"/>
        </w:rPr>
        <w:t>providers</w:t>
      </w:r>
      <w:r w:rsidRPr="00B9638F">
        <w:rPr>
          <w:rFonts w:cs="Arial"/>
        </w:rPr>
        <w:t>, support greater stability, collaboration and creativity with providers. Block contracts can also enable greater certainty and visibility of beds, allowing commissioners to find options that best meet citizen needs, rather than relying solely on availability.</w:t>
      </w:r>
    </w:p>
    <w:p w14:paraId="69514938" w14:textId="77777777" w:rsidR="00EB31D7" w:rsidRPr="00B9638F" w:rsidRDefault="00EB31D7" w:rsidP="004D3DCA">
      <w:pPr>
        <w:ind w:left="567" w:hanging="567"/>
        <w:rPr>
          <w:rFonts w:cs="Arial"/>
        </w:rPr>
      </w:pPr>
    </w:p>
    <w:p w14:paraId="33899846" w14:textId="6C96532B" w:rsidR="008316FE" w:rsidRPr="00B9638F" w:rsidRDefault="006E3404" w:rsidP="0032474F">
      <w:pPr>
        <w:pStyle w:val="ListParagraph"/>
        <w:numPr>
          <w:ilvl w:val="0"/>
          <w:numId w:val="6"/>
        </w:numPr>
        <w:ind w:left="567" w:hanging="567"/>
        <w:rPr>
          <w:rFonts w:cs="Arial"/>
        </w:rPr>
      </w:pPr>
      <w:r w:rsidRPr="00B9638F">
        <w:rPr>
          <w:rFonts w:cs="Arial"/>
        </w:rPr>
        <w:t xml:space="preserve">Through the evolving bedded care strategy, </w:t>
      </w:r>
      <w:r w:rsidR="008316FE" w:rsidRPr="00B9638F">
        <w:rPr>
          <w:rFonts w:cs="Arial"/>
        </w:rPr>
        <w:t xml:space="preserve">it </w:t>
      </w:r>
      <w:r w:rsidR="00693B7D" w:rsidRPr="00B9638F">
        <w:rPr>
          <w:rFonts w:cs="Arial"/>
        </w:rPr>
        <w:t>is propos</w:t>
      </w:r>
      <w:r w:rsidR="008316FE" w:rsidRPr="00B9638F">
        <w:rPr>
          <w:rFonts w:cs="Arial"/>
        </w:rPr>
        <w:t>ed</w:t>
      </w:r>
      <w:r w:rsidR="00693B7D" w:rsidRPr="00B9638F">
        <w:rPr>
          <w:rFonts w:cs="Arial"/>
        </w:rPr>
        <w:t xml:space="preserve"> to </w:t>
      </w:r>
      <w:r w:rsidR="00332B35" w:rsidRPr="00B9638F">
        <w:rPr>
          <w:rFonts w:cs="Arial"/>
        </w:rPr>
        <w:t>reduc</w:t>
      </w:r>
      <w:r w:rsidR="0034037C" w:rsidRPr="00B9638F">
        <w:rPr>
          <w:rFonts w:cs="Arial"/>
        </w:rPr>
        <w:t>e</w:t>
      </w:r>
      <w:r w:rsidR="00332B35" w:rsidRPr="00B9638F">
        <w:rPr>
          <w:rFonts w:cs="Arial"/>
        </w:rPr>
        <w:t xml:space="preserve"> the number of spot purchased placements </w:t>
      </w:r>
      <w:r w:rsidR="00ED4519" w:rsidRPr="00B9638F">
        <w:rPr>
          <w:rFonts w:cs="Arial"/>
        </w:rPr>
        <w:t xml:space="preserve">and </w:t>
      </w:r>
      <w:r w:rsidR="00693B7D" w:rsidRPr="00B9638F">
        <w:rPr>
          <w:rFonts w:cs="Arial"/>
        </w:rPr>
        <w:t>consolidate existing multiple spot placements</w:t>
      </w:r>
      <w:r w:rsidR="000F0B5E" w:rsidRPr="00B9638F">
        <w:rPr>
          <w:rFonts w:cs="Arial"/>
        </w:rPr>
        <w:t xml:space="preserve"> </w:t>
      </w:r>
      <w:r w:rsidR="00693B7D" w:rsidRPr="00B9638F">
        <w:rPr>
          <w:rFonts w:cs="Arial"/>
        </w:rPr>
        <w:t xml:space="preserve">in particular homes to a block </w:t>
      </w:r>
      <w:r w:rsidR="00636EA0" w:rsidRPr="00B9638F">
        <w:rPr>
          <w:rFonts w:cs="Arial"/>
        </w:rPr>
        <w:t xml:space="preserve">contracting </w:t>
      </w:r>
      <w:r w:rsidR="000F0B5E" w:rsidRPr="00B9638F">
        <w:rPr>
          <w:rFonts w:cs="Arial"/>
        </w:rPr>
        <w:t>arrangement.</w:t>
      </w:r>
      <w:r w:rsidR="007D790F" w:rsidRPr="00B9638F">
        <w:rPr>
          <w:rFonts w:cs="Arial"/>
        </w:rPr>
        <w:t xml:space="preserve"> The approach will be on a </w:t>
      </w:r>
      <w:r w:rsidR="0000601C" w:rsidRPr="00B9638F">
        <w:rPr>
          <w:rFonts w:cs="Arial"/>
        </w:rPr>
        <w:t>provider-by-provider</w:t>
      </w:r>
      <w:r w:rsidR="007D790F" w:rsidRPr="00B9638F">
        <w:rPr>
          <w:rFonts w:cs="Arial"/>
        </w:rPr>
        <w:t xml:space="preserve"> </w:t>
      </w:r>
      <w:r w:rsidR="00636EA0" w:rsidRPr="00B9638F">
        <w:rPr>
          <w:rFonts w:cs="Arial"/>
        </w:rPr>
        <w:t>basis,</w:t>
      </w:r>
      <w:r w:rsidR="007D790F" w:rsidRPr="00B9638F">
        <w:rPr>
          <w:rFonts w:cs="Arial"/>
        </w:rPr>
        <w:t xml:space="preserve"> </w:t>
      </w:r>
      <w:r w:rsidR="00325828" w:rsidRPr="00B9638F">
        <w:rPr>
          <w:rFonts w:cs="Arial"/>
        </w:rPr>
        <w:t>and over</w:t>
      </w:r>
      <w:r w:rsidR="00EE4246" w:rsidRPr="00B9638F">
        <w:rPr>
          <w:rFonts w:cs="Arial"/>
        </w:rPr>
        <w:t xml:space="preserve"> </w:t>
      </w:r>
      <w:r w:rsidR="00325828" w:rsidRPr="00B9638F">
        <w:rPr>
          <w:rFonts w:cs="Arial"/>
        </w:rPr>
        <w:t xml:space="preserve">time the number of block contracts will increase. </w:t>
      </w:r>
      <w:r w:rsidR="0050302C" w:rsidRPr="00B9638F">
        <w:rPr>
          <w:rFonts w:cs="Arial"/>
        </w:rPr>
        <w:t xml:space="preserve"> </w:t>
      </w:r>
    </w:p>
    <w:p w14:paraId="5BA293EC" w14:textId="77777777" w:rsidR="008316FE" w:rsidRPr="00B9638F" w:rsidRDefault="008316FE" w:rsidP="004D3DCA">
      <w:pPr>
        <w:ind w:left="567" w:hanging="567"/>
        <w:rPr>
          <w:rFonts w:cs="Arial"/>
        </w:rPr>
      </w:pPr>
    </w:p>
    <w:p w14:paraId="75A3FFB5" w14:textId="423B8082" w:rsidR="003E6221" w:rsidRPr="00B9638F" w:rsidRDefault="00325828" w:rsidP="0032474F">
      <w:pPr>
        <w:pStyle w:val="ListParagraph"/>
        <w:numPr>
          <w:ilvl w:val="0"/>
          <w:numId w:val="6"/>
        </w:numPr>
        <w:ind w:left="567" w:hanging="567"/>
        <w:rPr>
          <w:rFonts w:cs="Arial"/>
        </w:rPr>
      </w:pPr>
      <w:r w:rsidRPr="00B9638F">
        <w:rPr>
          <w:rFonts w:cs="Arial"/>
        </w:rPr>
        <w:t xml:space="preserve">This gradual approach </w:t>
      </w:r>
      <w:r w:rsidR="00A32EAF" w:rsidRPr="00B9638F">
        <w:rPr>
          <w:rFonts w:cs="Arial"/>
        </w:rPr>
        <w:t xml:space="preserve">will reduce risks </w:t>
      </w:r>
      <w:r w:rsidR="00ED4519" w:rsidRPr="00B9638F">
        <w:rPr>
          <w:rFonts w:cs="Arial"/>
        </w:rPr>
        <w:t xml:space="preserve">of voids </w:t>
      </w:r>
      <w:r w:rsidR="00A32EAF" w:rsidRPr="00B9638F">
        <w:rPr>
          <w:rFonts w:cs="Arial"/>
        </w:rPr>
        <w:t>and ensure block provision increases are targeted with the most appropriate providers.</w:t>
      </w:r>
      <w:r w:rsidR="004F2560" w:rsidRPr="00B9638F">
        <w:rPr>
          <w:rFonts w:cs="Arial"/>
        </w:rPr>
        <w:t xml:space="preserve"> </w:t>
      </w:r>
    </w:p>
    <w:p w14:paraId="0ED9B524" w14:textId="77777777" w:rsidR="00A253E4" w:rsidRPr="00B9638F" w:rsidRDefault="00A253E4" w:rsidP="004D3DCA">
      <w:pPr>
        <w:rPr>
          <w:rFonts w:cs="Arial"/>
        </w:rPr>
      </w:pPr>
    </w:p>
    <w:p w14:paraId="2F6107F7" w14:textId="3DFC3067" w:rsidR="00A253E4" w:rsidRPr="00B9638F" w:rsidRDefault="00A253E4" w:rsidP="0032474F">
      <w:pPr>
        <w:pStyle w:val="ListParagraph"/>
        <w:numPr>
          <w:ilvl w:val="0"/>
          <w:numId w:val="6"/>
        </w:numPr>
        <w:ind w:left="567" w:hanging="567"/>
        <w:rPr>
          <w:rFonts w:cs="Arial"/>
        </w:rPr>
      </w:pPr>
      <w:r w:rsidRPr="00B9638F">
        <w:rPr>
          <w:rFonts w:cs="Arial"/>
        </w:rPr>
        <w:t>The opportunities and risks of this approach are presented in the comparison table as follows:</w:t>
      </w:r>
    </w:p>
    <w:p w14:paraId="387B54F0" w14:textId="77777777" w:rsidR="00A253E4" w:rsidRPr="00B9638F" w:rsidRDefault="00A253E4" w:rsidP="00A253E4">
      <w:pPr>
        <w:rPr>
          <w:rFonts w:cs="Arial"/>
        </w:rPr>
      </w:pPr>
    </w:p>
    <w:tbl>
      <w:tblPr>
        <w:tblStyle w:val="TableGrid"/>
        <w:tblW w:w="0" w:type="auto"/>
        <w:tblInd w:w="279" w:type="dxa"/>
        <w:tblLook w:val="04A0" w:firstRow="1" w:lastRow="0" w:firstColumn="1" w:lastColumn="0" w:noHBand="0" w:noVBand="1"/>
      </w:tblPr>
      <w:tblGrid>
        <w:gridCol w:w="283"/>
        <w:gridCol w:w="3686"/>
        <w:gridCol w:w="4051"/>
      </w:tblGrid>
      <w:tr w:rsidR="00B9638F" w:rsidRPr="00B9638F" w14:paraId="26CDE117" w14:textId="77777777" w:rsidTr="004D3DCA">
        <w:tc>
          <w:tcPr>
            <w:tcW w:w="283" w:type="dxa"/>
          </w:tcPr>
          <w:p w14:paraId="6E765C97" w14:textId="77777777" w:rsidR="00A253E4" w:rsidRPr="00B9638F" w:rsidRDefault="00A253E4" w:rsidP="003262B1">
            <w:pPr>
              <w:jc w:val="center"/>
              <w:rPr>
                <w:rFonts w:cs="Arial"/>
                <w:szCs w:val="24"/>
              </w:rPr>
            </w:pPr>
          </w:p>
        </w:tc>
        <w:tc>
          <w:tcPr>
            <w:tcW w:w="3686" w:type="dxa"/>
          </w:tcPr>
          <w:p w14:paraId="4DCB1227" w14:textId="77777777" w:rsidR="00A253E4" w:rsidRPr="00B9638F" w:rsidRDefault="00A253E4" w:rsidP="003262B1">
            <w:pPr>
              <w:jc w:val="center"/>
              <w:rPr>
                <w:rFonts w:cs="Arial"/>
                <w:b/>
                <w:bCs/>
                <w:szCs w:val="24"/>
              </w:rPr>
            </w:pPr>
            <w:r w:rsidRPr="00B9638F">
              <w:rPr>
                <w:rFonts w:cs="Arial"/>
                <w:b/>
                <w:bCs/>
                <w:szCs w:val="24"/>
              </w:rPr>
              <w:t>Opportunity</w:t>
            </w:r>
          </w:p>
        </w:tc>
        <w:tc>
          <w:tcPr>
            <w:tcW w:w="4051" w:type="dxa"/>
          </w:tcPr>
          <w:p w14:paraId="02844168" w14:textId="77777777" w:rsidR="00A253E4" w:rsidRPr="00B9638F" w:rsidRDefault="00A253E4" w:rsidP="003262B1">
            <w:pPr>
              <w:jc w:val="center"/>
              <w:rPr>
                <w:rFonts w:cs="Arial"/>
                <w:b/>
                <w:bCs/>
                <w:szCs w:val="24"/>
              </w:rPr>
            </w:pPr>
            <w:r w:rsidRPr="00B9638F">
              <w:rPr>
                <w:rFonts w:cs="Arial"/>
                <w:b/>
                <w:bCs/>
                <w:szCs w:val="24"/>
              </w:rPr>
              <w:t>Challenge and Mitigations</w:t>
            </w:r>
          </w:p>
        </w:tc>
      </w:tr>
      <w:tr w:rsidR="00B9638F" w:rsidRPr="00B9638F" w14:paraId="3468C88E" w14:textId="77777777" w:rsidTr="004D3DCA">
        <w:tc>
          <w:tcPr>
            <w:tcW w:w="283" w:type="dxa"/>
          </w:tcPr>
          <w:p w14:paraId="4340EC93" w14:textId="77777777" w:rsidR="00A253E4" w:rsidRPr="00B9638F" w:rsidRDefault="00A253E4" w:rsidP="003262B1">
            <w:pPr>
              <w:rPr>
                <w:rFonts w:cs="Arial"/>
                <w:szCs w:val="24"/>
              </w:rPr>
            </w:pPr>
          </w:p>
        </w:tc>
        <w:tc>
          <w:tcPr>
            <w:tcW w:w="3686" w:type="dxa"/>
          </w:tcPr>
          <w:p w14:paraId="2CC09D3E" w14:textId="397DA98D" w:rsidR="00A253E4" w:rsidRPr="00B9638F" w:rsidRDefault="00301593" w:rsidP="003262B1">
            <w:pPr>
              <w:rPr>
                <w:rFonts w:cs="Arial"/>
                <w:szCs w:val="24"/>
              </w:rPr>
            </w:pPr>
            <w:r w:rsidRPr="00B9638F">
              <w:rPr>
                <w:rFonts w:cs="Arial"/>
                <w:szCs w:val="24"/>
              </w:rPr>
              <w:t>S</w:t>
            </w:r>
            <w:r w:rsidR="00A253E4" w:rsidRPr="00B9638F">
              <w:rPr>
                <w:rFonts w:cs="Arial"/>
                <w:szCs w:val="24"/>
              </w:rPr>
              <w:t>trategic block contracts secure efficiencies from disparate spot purchased spend and will help to reduce total expenditure</w:t>
            </w:r>
            <w:r w:rsidR="00FB3342" w:rsidRPr="00B9638F">
              <w:rPr>
                <w:rFonts w:cs="Arial"/>
                <w:szCs w:val="24"/>
              </w:rPr>
              <w:t>.</w:t>
            </w:r>
          </w:p>
        </w:tc>
        <w:tc>
          <w:tcPr>
            <w:tcW w:w="4051" w:type="dxa"/>
          </w:tcPr>
          <w:p w14:paraId="15AF1759" w14:textId="5E019C45" w:rsidR="00FB3342" w:rsidRPr="00B9638F" w:rsidRDefault="00A253E4" w:rsidP="0039184A">
            <w:pPr>
              <w:rPr>
                <w:rFonts w:cs="Arial"/>
                <w:szCs w:val="24"/>
              </w:rPr>
            </w:pPr>
            <w:r w:rsidRPr="00B9638F">
              <w:rPr>
                <w:rFonts w:cs="Arial"/>
                <w:szCs w:val="24"/>
              </w:rPr>
              <w:t xml:space="preserve">Void management as void periods reduce associated cost savings.  To mitigate this: </w:t>
            </w:r>
            <w:r w:rsidR="00FA5B9F" w:rsidRPr="00B9638F">
              <w:rPr>
                <w:rFonts w:cs="Arial"/>
                <w:szCs w:val="24"/>
              </w:rPr>
              <w:t xml:space="preserve">i) </w:t>
            </w:r>
            <w:r w:rsidR="00E06B0D" w:rsidRPr="00B9638F">
              <w:rPr>
                <w:rFonts w:cs="Arial"/>
                <w:szCs w:val="24"/>
              </w:rPr>
              <w:t xml:space="preserve">the </w:t>
            </w:r>
            <w:r w:rsidR="0094716E" w:rsidRPr="00B9638F">
              <w:rPr>
                <w:rFonts w:cs="Arial"/>
                <w:szCs w:val="24"/>
              </w:rPr>
              <w:t>move from spot to block</w:t>
            </w:r>
            <w:r w:rsidR="00745AB8" w:rsidRPr="00B9638F">
              <w:rPr>
                <w:rFonts w:cs="Arial"/>
                <w:szCs w:val="24"/>
              </w:rPr>
              <w:t xml:space="preserve"> provision</w:t>
            </w:r>
            <w:r w:rsidR="0094716E" w:rsidRPr="00B9638F">
              <w:rPr>
                <w:rFonts w:cs="Arial"/>
                <w:szCs w:val="24"/>
              </w:rPr>
              <w:t xml:space="preserve"> would </w:t>
            </w:r>
            <w:r w:rsidR="00745AB8" w:rsidRPr="00B9638F">
              <w:rPr>
                <w:rFonts w:cs="Arial"/>
                <w:szCs w:val="24"/>
              </w:rPr>
              <w:t>ensure that</w:t>
            </w:r>
            <w:r w:rsidR="003A42E0" w:rsidRPr="00B9638F">
              <w:rPr>
                <w:rFonts w:cs="Arial"/>
                <w:szCs w:val="24"/>
              </w:rPr>
              <w:t xml:space="preserve"> each block would </w:t>
            </w:r>
            <w:r w:rsidR="00D3660C" w:rsidRPr="00B9638F">
              <w:rPr>
                <w:rFonts w:cs="Arial"/>
                <w:szCs w:val="24"/>
              </w:rPr>
              <w:t xml:space="preserve">be full on day 1 of the contract and </w:t>
            </w:r>
            <w:r w:rsidR="0046550C" w:rsidRPr="00B9638F">
              <w:rPr>
                <w:rFonts w:cs="Arial"/>
                <w:szCs w:val="24"/>
              </w:rPr>
              <w:t>only future vacant beds would need to be filled</w:t>
            </w:r>
            <w:r w:rsidR="00E40AC2" w:rsidRPr="00B9638F">
              <w:rPr>
                <w:rFonts w:cs="Arial"/>
                <w:szCs w:val="24"/>
              </w:rPr>
              <w:t xml:space="preserve">. </w:t>
            </w:r>
            <w:r w:rsidR="0039184A" w:rsidRPr="00B9638F">
              <w:rPr>
                <w:rFonts w:cs="Arial"/>
                <w:szCs w:val="24"/>
              </w:rPr>
              <w:t>i</w:t>
            </w:r>
            <w:r w:rsidR="00E40AC2" w:rsidRPr="00B9638F">
              <w:rPr>
                <w:rFonts w:cs="Arial"/>
                <w:szCs w:val="24"/>
              </w:rPr>
              <w:t>i</w:t>
            </w:r>
            <w:r w:rsidR="0039184A" w:rsidRPr="00B9638F">
              <w:rPr>
                <w:rFonts w:cs="Arial"/>
                <w:szCs w:val="24"/>
              </w:rPr>
              <w:t>)</w:t>
            </w:r>
            <w:r w:rsidR="00745AB8" w:rsidRPr="00B9638F">
              <w:rPr>
                <w:rFonts w:cs="Arial"/>
                <w:szCs w:val="24"/>
              </w:rPr>
              <w:t xml:space="preserve"> </w:t>
            </w:r>
            <w:r w:rsidR="0039184A" w:rsidRPr="00B9638F">
              <w:rPr>
                <w:rFonts w:cs="Arial"/>
                <w:szCs w:val="24"/>
              </w:rPr>
              <w:t xml:space="preserve">There </w:t>
            </w:r>
            <w:r w:rsidR="00947435" w:rsidRPr="00B9638F">
              <w:rPr>
                <w:rFonts w:cs="Arial"/>
                <w:szCs w:val="24"/>
              </w:rPr>
              <w:t xml:space="preserve">are sufficient </w:t>
            </w:r>
            <w:r w:rsidR="00951997" w:rsidRPr="00B9638F">
              <w:rPr>
                <w:rFonts w:cs="Arial"/>
                <w:szCs w:val="24"/>
              </w:rPr>
              <w:t>new care placement</w:t>
            </w:r>
            <w:r w:rsidR="00104F77" w:rsidRPr="00B9638F">
              <w:rPr>
                <w:rFonts w:cs="Arial"/>
                <w:szCs w:val="24"/>
              </w:rPr>
              <w:t>s</w:t>
            </w:r>
            <w:r w:rsidR="00951997" w:rsidRPr="00B9638F">
              <w:rPr>
                <w:rFonts w:cs="Arial"/>
                <w:szCs w:val="24"/>
              </w:rPr>
              <w:t xml:space="preserve"> to ensure </w:t>
            </w:r>
            <w:r w:rsidR="00B5061F" w:rsidRPr="00B9638F">
              <w:rPr>
                <w:rFonts w:cs="Arial"/>
                <w:szCs w:val="24"/>
              </w:rPr>
              <w:t xml:space="preserve">that any void periods will be </w:t>
            </w:r>
            <w:r w:rsidR="005C4FDD" w:rsidRPr="00B9638F">
              <w:rPr>
                <w:rFonts w:cs="Arial"/>
                <w:szCs w:val="24"/>
              </w:rPr>
              <w:t xml:space="preserve">filled quickly – there </w:t>
            </w:r>
            <w:r w:rsidR="0039184A" w:rsidRPr="00B9638F">
              <w:rPr>
                <w:rFonts w:cs="Arial"/>
                <w:szCs w:val="24"/>
              </w:rPr>
              <w:t xml:space="preserve">were 130 new older people bedded care placements during 2021/22, </w:t>
            </w:r>
            <w:r w:rsidR="0039184A" w:rsidRPr="00B9638F">
              <w:rPr>
                <w:rFonts w:cs="Arial"/>
                <w:szCs w:val="24"/>
              </w:rPr>
              <w:lastRenderedPageBreak/>
              <w:t>which equates to 2.5 placements per week. There were 75 new bedded care dementia placements during 2021/22, which equates to just under 1.5 placements per week.</w:t>
            </w:r>
            <w:r w:rsidR="00E06B0D" w:rsidRPr="00B9638F">
              <w:rPr>
                <w:rFonts w:cs="Arial"/>
                <w:szCs w:val="24"/>
              </w:rPr>
              <w:t xml:space="preserve"> </w:t>
            </w:r>
            <w:r w:rsidR="00E40AC2" w:rsidRPr="00B9638F">
              <w:rPr>
                <w:rFonts w:cs="Arial"/>
                <w:szCs w:val="24"/>
              </w:rPr>
              <w:t>i</w:t>
            </w:r>
            <w:r w:rsidR="00745AB8" w:rsidRPr="00B9638F">
              <w:rPr>
                <w:rFonts w:cs="Arial"/>
                <w:szCs w:val="24"/>
              </w:rPr>
              <w:t>i</w:t>
            </w:r>
            <w:r w:rsidR="00FA5B9F" w:rsidRPr="00B9638F">
              <w:rPr>
                <w:rFonts w:cs="Arial"/>
                <w:szCs w:val="24"/>
              </w:rPr>
              <w:t>i</w:t>
            </w:r>
            <w:r w:rsidRPr="00B9638F">
              <w:rPr>
                <w:rFonts w:cs="Arial"/>
                <w:szCs w:val="24"/>
              </w:rPr>
              <w:t>) the increase of block provision will take time as part of on-going market management. i</w:t>
            </w:r>
            <w:r w:rsidR="00E40AC2" w:rsidRPr="00B9638F">
              <w:rPr>
                <w:rFonts w:cs="Arial"/>
                <w:szCs w:val="24"/>
              </w:rPr>
              <w:t>v</w:t>
            </w:r>
            <w:r w:rsidRPr="00B9638F">
              <w:rPr>
                <w:rFonts w:cs="Arial"/>
                <w:szCs w:val="24"/>
              </w:rPr>
              <w:t>) the Brokerage Team will dedicate officer time to monitor each block and work with care management to fill beds. A register will be kept to facilitate this and new referrals sent to block providers to fill any void beds as quickly as possible.</w:t>
            </w:r>
            <w:r w:rsidR="00C50745" w:rsidRPr="00B9638F">
              <w:rPr>
                <w:rFonts w:cs="Arial"/>
                <w:szCs w:val="24"/>
              </w:rPr>
              <w:t xml:space="preserve"> </w:t>
            </w:r>
          </w:p>
          <w:p w14:paraId="745D2531" w14:textId="2BD7ED15" w:rsidR="005C4FDD" w:rsidRPr="00B9638F" w:rsidRDefault="005C4FDD" w:rsidP="0039184A">
            <w:pPr>
              <w:rPr>
                <w:rFonts w:cs="Arial"/>
                <w:szCs w:val="24"/>
              </w:rPr>
            </w:pPr>
          </w:p>
        </w:tc>
      </w:tr>
      <w:tr w:rsidR="00B9638F" w:rsidRPr="00B9638F" w14:paraId="09E40CDD" w14:textId="77777777" w:rsidTr="004D3DCA">
        <w:tc>
          <w:tcPr>
            <w:tcW w:w="283" w:type="dxa"/>
          </w:tcPr>
          <w:p w14:paraId="32E2BDE3" w14:textId="77777777" w:rsidR="009A7366" w:rsidRPr="00B9638F" w:rsidRDefault="009A7366" w:rsidP="009A7366">
            <w:pPr>
              <w:rPr>
                <w:rFonts w:cs="Arial"/>
                <w:szCs w:val="24"/>
              </w:rPr>
            </w:pPr>
          </w:p>
        </w:tc>
        <w:tc>
          <w:tcPr>
            <w:tcW w:w="3686" w:type="dxa"/>
          </w:tcPr>
          <w:p w14:paraId="3F9B8030" w14:textId="44379FDA" w:rsidR="009A7366" w:rsidRPr="00B9638F" w:rsidRDefault="009A7366" w:rsidP="009A7366">
            <w:pPr>
              <w:rPr>
                <w:rFonts w:cs="Arial"/>
                <w:szCs w:val="24"/>
              </w:rPr>
            </w:pPr>
            <w:r w:rsidRPr="00B9638F">
              <w:rPr>
                <w:rFonts w:cs="Arial"/>
                <w:szCs w:val="24"/>
              </w:rPr>
              <w:t xml:space="preserve">Builds relationships with local providers as key partners in strategic planning. Planning reduces the risk of void beds and increased </w:t>
            </w:r>
            <w:r w:rsidR="00CF7ADE" w:rsidRPr="00B9638F">
              <w:rPr>
                <w:rFonts w:cs="Arial"/>
                <w:szCs w:val="24"/>
              </w:rPr>
              <w:t xml:space="preserve">local </w:t>
            </w:r>
            <w:r w:rsidRPr="00B9638F">
              <w:rPr>
                <w:rFonts w:cs="Arial"/>
                <w:szCs w:val="24"/>
              </w:rPr>
              <w:t xml:space="preserve">employment. </w:t>
            </w:r>
          </w:p>
        </w:tc>
        <w:tc>
          <w:tcPr>
            <w:tcW w:w="4051" w:type="dxa"/>
          </w:tcPr>
          <w:p w14:paraId="4B91794B" w14:textId="148C1D6E" w:rsidR="009A7366" w:rsidRPr="00B9638F" w:rsidRDefault="009A7366" w:rsidP="009A7366">
            <w:pPr>
              <w:rPr>
                <w:rFonts w:cs="Arial"/>
                <w:szCs w:val="24"/>
              </w:rPr>
            </w:pPr>
            <w:r w:rsidRPr="00B9638F">
              <w:rPr>
                <w:rFonts w:cs="Arial"/>
                <w:szCs w:val="24"/>
              </w:rPr>
              <w:t xml:space="preserve">To ensure that the provider does not chose referral packages with the lowest needs, regular provider meetings will be used to challenge this position, if this is the case with examples and data from the Brokerage Team. The contract will outline the council’s </w:t>
            </w:r>
            <w:r w:rsidR="002116D3" w:rsidRPr="00B9638F">
              <w:rPr>
                <w:rFonts w:cs="Arial"/>
                <w:szCs w:val="24"/>
              </w:rPr>
              <w:t>requirement</w:t>
            </w:r>
            <w:r w:rsidRPr="00B9638F">
              <w:rPr>
                <w:rFonts w:cs="Arial"/>
                <w:szCs w:val="24"/>
              </w:rPr>
              <w:t>s on referral expectations.</w:t>
            </w:r>
          </w:p>
          <w:p w14:paraId="26E71381" w14:textId="77777777" w:rsidR="009A7366" w:rsidRPr="00B9638F" w:rsidRDefault="009A7366" w:rsidP="009A7366">
            <w:pPr>
              <w:rPr>
                <w:rFonts w:cs="Arial"/>
                <w:szCs w:val="24"/>
              </w:rPr>
            </w:pPr>
          </w:p>
        </w:tc>
      </w:tr>
      <w:tr w:rsidR="00B9638F" w:rsidRPr="00B9638F" w14:paraId="1AA965B0" w14:textId="77777777" w:rsidTr="004D3DCA">
        <w:tc>
          <w:tcPr>
            <w:tcW w:w="283" w:type="dxa"/>
          </w:tcPr>
          <w:p w14:paraId="0CCE3B54" w14:textId="77777777" w:rsidR="009A7366" w:rsidRPr="00B9638F" w:rsidRDefault="009A7366" w:rsidP="009A7366">
            <w:pPr>
              <w:rPr>
                <w:rFonts w:cs="Arial"/>
                <w:szCs w:val="24"/>
              </w:rPr>
            </w:pPr>
          </w:p>
        </w:tc>
        <w:tc>
          <w:tcPr>
            <w:tcW w:w="3686" w:type="dxa"/>
          </w:tcPr>
          <w:p w14:paraId="5EC6AC1A" w14:textId="6E360A6F" w:rsidR="009A7366" w:rsidRPr="00B9638F" w:rsidRDefault="009A7366" w:rsidP="009A7366">
            <w:pPr>
              <w:rPr>
                <w:rFonts w:cs="Arial"/>
                <w:szCs w:val="24"/>
              </w:rPr>
            </w:pPr>
            <w:r w:rsidRPr="00B9638F">
              <w:rPr>
                <w:rFonts w:cs="Arial"/>
                <w:szCs w:val="24"/>
              </w:rPr>
              <w:t>Implementation of specialist commissioning provision for example, culturally specific provision, dementia and similar age-related complex conditions</w:t>
            </w:r>
          </w:p>
        </w:tc>
        <w:tc>
          <w:tcPr>
            <w:tcW w:w="4051" w:type="dxa"/>
          </w:tcPr>
          <w:p w14:paraId="06C55031" w14:textId="0D2AD122" w:rsidR="009A7366" w:rsidRPr="00B9638F" w:rsidRDefault="009A7366" w:rsidP="009A7366">
            <w:pPr>
              <w:rPr>
                <w:rFonts w:cs="Arial"/>
                <w:szCs w:val="24"/>
              </w:rPr>
            </w:pPr>
            <w:r w:rsidRPr="00B9638F">
              <w:rPr>
                <w:rFonts w:cs="Arial"/>
                <w:szCs w:val="24"/>
              </w:rPr>
              <w:t xml:space="preserve">A change in CQC ratings will mean that if a provider moves from ‘good’ to ‘requires improvement’ will alter, more greatly, the proportion of placements amongst providers that are not ‘good’ or ‘outstanding’. However, the Quality Assurance team will continue to work with providers in developing a detailed action plan with timescales so that they are able to improve its ratings as soon as possible. </w:t>
            </w:r>
          </w:p>
          <w:p w14:paraId="5AA22D1C" w14:textId="77777777" w:rsidR="009A7366" w:rsidRPr="00B9638F" w:rsidRDefault="009A7366" w:rsidP="009A7366">
            <w:pPr>
              <w:rPr>
                <w:rFonts w:cs="Arial"/>
                <w:szCs w:val="24"/>
              </w:rPr>
            </w:pPr>
          </w:p>
        </w:tc>
      </w:tr>
      <w:tr w:rsidR="00B9638F" w:rsidRPr="00B9638F" w14:paraId="31D14D36" w14:textId="77777777" w:rsidTr="004D3DCA">
        <w:tc>
          <w:tcPr>
            <w:tcW w:w="283" w:type="dxa"/>
          </w:tcPr>
          <w:p w14:paraId="6FAED498" w14:textId="77777777" w:rsidR="009A7366" w:rsidRPr="00B9638F" w:rsidRDefault="009A7366" w:rsidP="009A7366">
            <w:pPr>
              <w:rPr>
                <w:rFonts w:cs="Arial"/>
                <w:szCs w:val="24"/>
              </w:rPr>
            </w:pPr>
          </w:p>
        </w:tc>
        <w:tc>
          <w:tcPr>
            <w:tcW w:w="3686" w:type="dxa"/>
          </w:tcPr>
          <w:p w14:paraId="211ECC3F" w14:textId="239B98FF" w:rsidR="009A7366" w:rsidRPr="00B9638F" w:rsidRDefault="009A7366" w:rsidP="009A7366">
            <w:pPr>
              <w:rPr>
                <w:rFonts w:cs="Arial"/>
                <w:szCs w:val="24"/>
              </w:rPr>
            </w:pPr>
            <w:r w:rsidRPr="00B9638F">
              <w:rPr>
                <w:rFonts w:cs="Arial"/>
                <w:szCs w:val="24"/>
              </w:rPr>
              <w:t>Beneficial for citizens families and carers as this will lead to increased local provisio</w:t>
            </w:r>
            <w:r w:rsidR="007D0E50" w:rsidRPr="00B9638F">
              <w:rPr>
                <w:rFonts w:cs="Arial"/>
                <w:szCs w:val="24"/>
              </w:rPr>
              <w:t>n.</w:t>
            </w:r>
          </w:p>
        </w:tc>
        <w:tc>
          <w:tcPr>
            <w:tcW w:w="4051" w:type="dxa"/>
          </w:tcPr>
          <w:p w14:paraId="358E5EA2" w14:textId="77777777" w:rsidR="009A7366" w:rsidRPr="00B9638F" w:rsidRDefault="009A7366" w:rsidP="009A7366">
            <w:pPr>
              <w:rPr>
                <w:rFonts w:cs="Arial"/>
                <w:szCs w:val="24"/>
              </w:rPr>
            </w:pPr>
          </w:p>
        </w:tc>
      </w:tr>
      <w:tr w:rsidR="00B9638F" w:rsidRPr="00B9638F" w14:paraId="06E96D4F" w14:textId="77777777" w:rsidTr="004D3DCA">
        <w:tc>
          <w:tcPr>
            <w:tcW w:w="283" w:type="dxa"/>
          </w:tcPr>
          <w:p w14:paraId="458BDAB9" w14:textId="77777777" w:rsidR="009A7366" w:rsidRPr="00B9638F" w:rsidRDefault="009A7366" w:rsidP="009A7366">
            <w:pPr>
              <w:rPr>
                <w:rFonts w:cs="Arial"/>
                <w:szCs w:val="24"/>
              </w:rPr>
            </w:pPr>
          </w:p>
        </w:tc>
        <w:tc>
          <w:tcPr>
            <w:tcW w:w="3686" w:type="dxa"/>
          </w:tcPr>
          <w:p w14:paraId="2152B756" w14:textId="3DA9ED69" w:rsidR="009A7366" w:rsidRPr="00B9638F" w:rsidRDefault="009A7366" w:rsidP="009A7366">
            <w:pPr>
              <w:rPr>
                <w:rFonts w:cs="Arial"/>
                <w:szCs w:val="24"/>
              </w:rPr>
            </w:pPr>
            <w:r w:rsidRPr="00B9638F">
              <w:rPr>
                <w:rFonts w:cs="Arial"/>
                <w:szCs w:val="24"/>
              </w:rPr>
              <w:t xml:space="preserve">Block provision will reduce the total number of providers commissioned and the associated out of borough visits from Social work, Quality Assurance, Contract Monitoring and Commissioning teams. It will reduce back officer functions. </w:t>
            </w:r>
          </w:p>
        </w:tc>
        <w:tc>
          <w:tcPr>
            <w:tcW w:w="4051" w:type="dxa"/>
          </w:tcPr>
          <w:p w14:paraId="7D5026B2" w14:textId="77777777" w:rsidR="009A7366" w:rsidRPr="00B9638F" w:rsidRDefault="009A7366" w:rsidP="009A7366">
            <w:pPr>
              <w:rPr>
                <w:rFonts w:cs="Arial"/>
                <w:szCs w:val="24"/>
              </w:rPr>
            </w:pPr>
          </w:p>
        </w:tc>
      </w:tr>
      <w:tr w:rsidR="00B9638F" w:rsidRPr="00B9638F" w14:paraId="27014A8F" w14:textId="77777777" w:rsidTr="004D3DCA">
        <w:tc>
          <w:tcPr>
            <w:tcW w:w="283" w:type="dxa"/>
          </w:tcPr>
          <w:p w14:paraId="44131FE1" w14:textId="77777777" w:rsidR="009A7366" w:rsidRPr="00B9638F" w:rsidRDefault="009A7366" w:rsidP="009A7366">
            <w:pPr>
              <w:rPr>
                <w:rFonts w:cs="Arial"/>
                <w:szCs w:val="24"/>
              </w:rPr>
            </w:pPr>
          </w:p>
        </w:tc>
        <w:tc>
          <w:tcPr>
            <w:tcW w:w="3686" w:type="dxa"/>
          </w:tcPr>
          <w:p w14:paraId="2CBACCB6" w14:textId="23493A2B" w:rsidR="009A7366" w:rsidRPr="00B9638F" w:rsidRDefault="009A7366" w:rsidP="009A7366">
            <w:pPr>
              <w:rPr>
                <w:rFonts w:cs="Arial"/>
                <w:szCs w:val="24"/>
              </w:rPr>
            </w:pPr>
            <w:r w:rsidRPr="00B9638F">
              <w:rPr>
                <w:rFonts w:cs="Arial"/>
                <w:szCs w:val="24"/>
              </w:rPr>
              <w:t>Well-defined specifications focusing on person-centred support and progression, as well as a clear expectation of a reduction in support hours over time</w:t>
            </w:r>
            <w:r w:rsidR="007D0E50" w:rsidRPr="00B9638F">
              <w:rPr>
                <w:rFonts w:cs="Arial"/>
                <w:szCs w:val="24"/>
              </w:rPr>
              <w:t>.</w:t>
            </w:r>
          </w:p>
        </w:tc>
        <w:tc>
          <w:tcPr>
            <w:tcW w:w="4051" w:type="dxa"/>
          </w:tcPr>
          <w:p w14:paraId="154C3105" w14:textId="77777777" w:rsidR="009A7366" w:rsidRPr="00B9638F" w:rsidRDefault="009A7366" w:rsidP="009A7366">
            <w:pPr>
              <w:rPr>
                <w:rFonts w:cs="Arial"/>
                <w:szCs w:val="24"/>
              </w:rPr>
            </w:pPr>
          </w:p>
        </w:tc>
      </w:tr>
      <w:tr w:rsidR="009A7366" w:rsidRPr="00B9638F" w14:paraId="3C30FA39" w14:textId="77777777" w:rsidTr="004D3DCA">
        <w:tc>
          <w:tcPr>
            <w:tcW w:w="283" w:type="dxa"/>
          </w:tcPr>
          <w:p w14:paraId="77961D32" w14:textId="77777777" w:rsidR="009A7366" w:rsidRPr="00B9638F" w:rsidRDefault="009A7366" w:rsidP="009A7366">
            <w:pPr>
              <w:rPr>
                <w:rFonts w:cs="Arial"/>
                <w:szCs w:val="24"/>
              </w:rPr>
            </w:pPr>
          </w:p>
        </w:tc>
        <w:tc>
          <w:tcPr>
            <w:tcW w:w="3686" w:type="dxa"/>
          </w:tcPr>
          <w:p w14:paraId="54EB11C8" w14:textId="62C67A59" w:rsidR="009A7366" w:rsidRPr="00B9638F" w:rsidRDefault="009A7366" w:rsidP="009A7366">
            <w:pPr>
              <w:rPr>
                <w:rFonts w:cs="Arial"/>
                <w:szCs w:val="24"/>
              </w:rPr>
            </w:pPr>
            <w:r w:rsidRPr="00B9638F">
              <w:rPr>
                <w:rFonts w:cs="Arial"/>
                <w:szCs w:val="24"/>
              </w:rPr>
              <w:t>Offer opportunities to develop joint arrangements with Health to support residential options for older people with more complex health and care needs.</w:t>
            </w:r>
          </w:p>
        </w:tc>
        <w:tc>
          <w:tcPr>
            <w:tcW w:w="4051" w:type="dxa"/>
          </w:tcPr>
          <w:p w14:paraId="591600FE" w14:textId="77777777" w:rsidR="009A7366" w:rsidRPr="00B9638F" w:rsidRDefault="009A7366" w:rsidP="009A7366">
            <w:pPr>
              <w:rPr>
                <w:rFonts w:cs="Arial"/>
                <w:szCs w:val="24"/>
              </w:rPr>
            </w:pPr>
          </w:p>
        </w:tc>
      </w:tr>
    </w:tbl>
    <w:p w14:paraId="1EE68871" w14:textId="77777777" w:rsidR="003E6221" w:rsidRPr="00B9638F" w:rsidRDefault="003E6221" w:rsidP="004F2560">
      <w:pPr>
        <w:rPr>
          <w:rFonts w:cs="Arial"/>
        </w:rPr>
      </w:pPr>
    </w:p>
    <w:p w14:paraId="37FC35FF" w14:textId="3BB6830A" w:rsidR="00BE05D0" w:rsidRPr="00B9638F" w:rsidRDefault="00BE05D0" w:rsidP="0032474F">
      <w:pPr>
        <w:pStyle w:val="ListParagraph"/>
        <w:numPr>
          <w:ilvl w:val="0"/>
          <w:numId w:val="6"/>
        </w:numPr>
        <w:ind w:left="567" w:hanging="567"/>
        <w:rPr>
          <w:rFonts w:cs="Arial"/>
        </w:rPr>
      </w:pPr>
      <w:r w:rsidRPr="00B9638F">
        <w:rPr>
          <w:rFonts w:cs="Arial"/>
        </w:rPr>
        <w:t>Initial discussion</w:t>
      </w:r>
      <w:r w:rsidR="00A91FE8" w:rsidRPr="00B9638F">
        <w:rPr>
          <w:rFonts w:cs="Arial"/>
        </w:rPr>
        <w:t>s</w:t>
      </w:r>
      <w:r w:rsidRPr="00B9638F">
        <w:rPr>
          <w:rFonts w:cs="Arial"/>
        </w:rPr>
        <w:t xml:space="preserve"> with providers </w:t>
      </w:r>
      <w:r w:rsidR="00A91FE8" w:rsidRPr="00B9638F">
        <w:rPr>
          <w:rFonts w:cs="Arial"/>
        </w:rPr>
        <w:t xml:space="preserve">have </w:t>
      </w:r>
      <w:r w:rsidRPr="00B9638F">
        <w:rPr>
          <w:rFonts w:cs="Arial"/>
        </w:rPr>
        <w:t>identified several opportunities to consolidate spot purchases to block arrangements including:</w:t>
      </w:r>
    </w:p>
    <w:p w14:paraId="43860EC0" w14:textId="08F0C63A" w:rsidR="00BE05D0" w:rsidRPr="00B9638F" w:rsidRDefault="00BE05D0" w:rsidP="00BE05D0">
      <w:pPr>
        <w:rPr>
          <w:rFonts w:cs="Arial"/>
        </w:rPr>
      </w:pPr>
    </w:p>
    <w:p w14:paraId="6F857227" w14:textId="2DDAA745" w:rsidR="00011943" w:rsidRPr="00B9638F" w:rsidRDefault="00011943" w:rsidP="0032474F">
      <w:pPr>
        <w:pStyle w:val="ListParagraph"/>
        <w:numPr>
          <w:ilvl w:val="0"/>
          <w:numId w:val="5"/>
        </w:numPr>
        <w:ind w:left="1134" w:hanging="567"/>
        <w:rPr>
          <w:rFonts w:cs="Arial"/>
        </w:rPr>
      </w:pPr>
      <w:r w:rsidRPr="00B9638F">
        <w:rPr>
          <w:rFonts w:cs="Arial"/>
        </w:rPr>
        <w:t xml:space="preserve">A dementia care home </w:t>
      </w:r>
      <w:r w:rsidR="00895881" w:rsidRPr="00B9638F">
        <w:rPr>
          <w:rFonts w:cs="Arial"/>
        </w:rPr>
        <w:t>that current</w:t>
      </w:r>
      <w:r w:rsidR="002116D3" w:rsidRPr="00B9638F">
        <w:rPr>
          <w:rFonts w:cs="Arial"/>
        </w:rPr>
        <w:t>ly</w:t>
      </w:r>
      <w:r w:rsidR="00895881" w:rsidRPr="00B9638F">
        <w:rPr>
          <w:rFonts w:cs="Arial"/>
        </w:rPr>
        <w:t xml:space="preserve"> provides </w:t>
      </w:r>
      <w:r w:rsidRPr="00B9638F">
        <w:rPr>
          <w:rFonts w:cs="Arial"/>
        </w:rPr>
        <w:t xml:space="preserve">7 spot beds </w:t>
      </w:r>
    </w:p>
    <w:p w14:paraId="606CC2D3" w14:textId="016243C0" w:rsidR="00011943" w:rsidRPr="00B9638F" w:rsidRDefault="00011943" w:rsidP="0032474F">
      <w:pPr>
        <w:pStyle w:val="ListParagraph"/>
        <w:numPr>
          <w:ilvl w:val="0"/>
          <w:numId w:val="5"/>
        </w:numPr>
        <w:ind w:left="1134" w:hanging="567"/>
        <w:rPr>
          <w:rFonts w:cs="Arial"/>
        </w:rPr>
      </w:pPr>
      <w:r w:rsidRPr="00B9638F">
        <w:rPr>
          <w:rFonts w:cs="Arial"/>
        </w:rPr>
        <w:t xml:space="preserve">14 spot beds in two Harrow homes </w:t>
      </w:r>
      <w:r w:rsidR="00895881" w:rsidRPr="00B9638F">
        <w:rPr>
          <w:rFonts w:cs="Arial"/>
        </w:rPr>
        <w:t>from a</w:t>
      </w:r>
      <w:r w:rsidRPr="00B9638F">
        <w:rPr>
          <w:rFonts w:cs="Arial"/>
        </w:rPr>
        <w:t xml:space="preserve"> medium sized care home provider for dementia and non-dementia placements </w:t>
      </w:r>
    </w:p>
    <w:p w14:paraId="24F6A9B4" w14:textId="77777777" w:rsidR="005036CB" w:rsidRPr="00B9638F" w:rsidRDefault="005036CB" w:rsidP="0048508F">
      <w:pPr>
        <w:pStyle w:val="ListParagraph"/>
        <w:ind w:left="1134" w:hanging="567"/>
        <w:rPr>
          <w:rFonts w:cs="Arial"/>
        </w:rPr>
      </w:pPr>
    </w:p>
    <w:p w14:paraId="17F156D2" w14:textId="73231108" w:rsidR="00BE05D0" w:rsidRPr="00B9638F" w:rsidRDefault="00011943" w:rsidP="00BA1BCF">
      <w:pPr>
        <w:pStyle w:val="ListParagraph"/>
        <w:numPr>
          <w:ilvl w:val="0"/>
          <w:numId w:val="6"/>
        </w:numPr>
        <w:ind w:left="567" w:hanging="567"/>
        <w:rPr>
          <w:rFonts w:cs="Arial"/>
        </w:rPr>
      </w:pPr>
      <w:r w:rsidRPr="00B9638F">
        <w:rPr>
          <w:rFonts w:cs="Arial"/>
        </w:rPr>
        <w:t>Both homes have a good CQC rating</w:t>
      </w:r>
      <w:r w:rsidR="005036CB" w:rsidRPr="00B9638F">
        <w:rPr>
          <w:rFonts w:cs="Arial"/>
        </w:rPr>
        <w:t xml:space="preserve">, will accept the </w:t>
      </w:r>
      <w:r w:rsidR="00327027" w:rsidRPr="00B9638F">
        <w:rPr>
          <w:rFonts w:cs="Arial"/>
        </w:rPr>
        <w:t>West London Alliance (</w:t>
      </w:r>
      <w:r w:rsidR="005036CB" w:rsidRPr="00B9638F">
        <w:rPr>
          <w:rFonts w:cs="Arial"/>
        </w:rPr>
        <w:t>WLA</w:t>
      </w:r>
      <w:r w:rsidR="00327027" w:rsidRPr="00B9638F">
        <w:rPr>
          <w:rFonts w:cs="Arial"/>
        </w:rPr>
        <w:t>)</w:t>
      </w:r>
      <w:r w:rsidR="005036CB" w:rsidRPr="00B9638F">
        <w:rPr>
          <w:rFonts w:cs="Arial"/>
        </w:rPr>
        <w:t xml:space="preserve"> rates and have </w:t>
      </w:r>
      <w:r w:rsidR="002116D3" w:rsidRPr="00B9638F">
        <w:rPr>
          <w:rFonts w:cs="Arial"/>
        </w:rPr>
        <w:t xml:space="preserve">the </w:t>
      </w:r>
      <w:r w:rsidR="005036CB" w:rsidRPr="00B9638F">
        <w:rPr>
          <w:rFonts w:cs="Arial"/>
        </w:rPr>
        <w:t xml:space="preserve">potential to </w:t>
      </w:r>
      <w:r w:rsidRPr="00B9638F">
        <w:rPr>
          <w:rFonts w:cs="Arial"/>
        </w:rPr>
        <w:t xml:space="preserve">increase the number of block beds over time if </w:t>
      </w:r>
      <w:r w:rsidR="005036CB" w:rsidRPr="00B9638F">
        <w:rPr>
          <w:rFonts w:cs="Arial"/>
        </w:rPr>
        <w:t>this</w:t>
      </w:r>
      <w:r w:rsidRPr="00B9638F">
        <w:rPr>
          <w:rFonts w:cs="Arial"/>
        </w:rPr>
        <w:t xml:space="preserve"> aligns with the council’s needs</w:t>
      </w:r>
      <w:r w:rsidRPr="00B9638F">
        <w:rPr>
          <w:rFonts w:cs="Arial"/>
          <w:szCs w:val="24"/>
        </w:rPr>
        <w:t xml:space="preserve">. </w:t>
      </w:r>
    </w:p>
    <w:p w14:paraId="23515F23" w14:textId="77777777" w:rsidR="007B6365" w:rsidRPr="00B9638F" w:rsidRDefault="007B6365" w:rsidP="007B6365">
      <w:pPr>
        <w:pStyle w:val="ListParagraph"/>
        <w:ind w:left="567"/>
        <w:rPr>
          <w:rFonts w:cs="Arial"/>
        </w:rPr>
      </w:pPr>
    </w:p>
    <w:p w14:paraId="19788812" w14:textId="03BB85AE" w:rsidR="00556530" w:rsidRPr="00B9638F" w:rsidRDefault="00556530" w:rsidP="0042193E">
      <w:pPr>
        <w:ind w:left="567"/>
        <w:rPr>
          <w:rFonts w:cs="Arial"/>
          <w:b/>
          <w:bCs/>
        </w:rPr>
      </w:pPr>
      <w:r w:rsidRPr="00B9638F">
        <w:rPr>
          <w:rFonts w:cs="Arial"/>
          <w:b/>
          <w:bCs/>
        </w:rPr>
        <w:t xml:space="preserve">Implementing the </w:t>
      </w:r>
      <w:r w:rsidR="005F5931" w:rsidRPr="00B9638F">
        <w:rPr>
          <w:rFonts w:cs="Arial"/>
          <w:b/>
          <w:bCs/>
        </w:rPr>
        <w:t>in</w:t>
      </w:r>
      <w:r w:rsidR="009C0F1F" w:rsidRPr="00B9638F">
        <w:rPr>
          <w:rFonts w:cs="Arial"/>
          <w:b/>
          <w:bCs/>
        </w:rPr>
        <w:t>crease in block provision</w:t>
      </w:r>
    </w:p>
    <w:p w14:paraId="7C977B24" w14:textId="2050551A" w:rsidR="004F2560" w:rsidRPr="00B9638F" w:rsidRDefault="00C1280C" w:rsidP="0032474F">
      <w:pPr>
        <w:pStyle w:val="ListParagraph"/>
        <w:numPr>
          <w:ilvl w:val="0"/>
          <w:numId w:val="6"/>
        </w:numPr>
        <w:ind w:left="567" w:hanging="567"/>
        <w:rPr>
          <w:rFonts w:cs="Arial"/>
        </w:rPr>
      </w:pPr>
      <w:r w:rsidRPr="00B9638F">
        <w:rPr>
          <w:rFonts w:cs="Arial"/>
        </w:rPr>
        <w:t>Officers</w:t>
      </w:r>
      <w:r w:rsidR="004F2560" w:rsidRPr="00B9638F">
        <w:rPr>
          <w:rFonts w:cs="Arial"/>
        </w:rPr>
        <w:t xml:space="preserve"> will assess the scale and viability of each opportunity and progress to targeted commercial negotiation with the aim to ensuring weekly prices are aligned to the WLA rates for older people’s block contracts.</w:t>
      </w:r>
      <w:r w:rsidRPr="00B9638F">
        <w:rPr>
          <w:rFonts w:cs="Arial"/>
        </w:rPr>
        <w:t xml:space="preserve"> </w:t>
      </w:r>
      <w:r w:rsidR="005B4D42" w:rsidRPr="00B9638F">
        <w:rPr>
          <w:rFonts w:cs="Arial"/>
        </w:rPr>
        <w:t>There is no target number of beds to be secured through block contracting arrangements. The Council expects to continue a combination of block and spot purchase commissioning arrangements.</w:t>
      </w:r>
      <w:r w:rsidR="00ED1277" w:rsidRPr="00B9638F">
        <w:rPr>
          <w:rFonts w:cs="Arial"/>
        </w:rPr>
        <w:t xml:space="preserve"> </w:t>
      </w:r>
    </w:p>
    <w:p w14:paraId="0873E491" w14:textId="11B37C1E" w:rsidR="00ED4519" w:rsidRPr="00B9638F" w:rsidRDefault="00ED4519" w:rsidP="006D0EBA">
      <w:pPr>
        <w:rPr>
          <w:rFonts w:cs="Arial"/>
        </w:rPr>
      </w:pPr>
    </w:p>
    <w:p w14:paraId="2DAD377B" w14:textId="7A641977" w:rsidR="00556530" w:rsidRPr="00B9638F" w:rsidRDefault="00556530" w:rsidP="00ED1277">
      <w:pPr>
        <w:pStyle w:val="ListParagraph"/>
        <w:numPr>
          <w:ilvl w:val="0"/>
          <w:numId w:val="6"/>
        </w:numPr>
        <w:ind w:left="567" w:hanging="567"/>
        <w:rPr>
          <w:rFonts w:cs="Arial"/>
        </w:rPr>
      </w:pPr>
      <w:r w:rsidRPr="00B9638F">
        <w:rPr>
          <w:rFonts w:cs="Arial"/>
        </w:rPr>
        <w:t>The following criteria will be applied</w:t>
      </w:r>
      <w:r w:rsidR="00ED1277" w:rsidRPr="00B9638F">
        <w:rPr>
          <w:rFonts w:cs="Arial"/>
        </w:rPr>
        <w:t xml:space="preserve"> to potential providers for block contracts:</w:t>
      </w:r>
    </w:p>
    <w:p w14:paraId="6BDEB06D" w14:textId="77777777" w:rsidR="008C7074" w:rsidRPr="00B9638F" w:rsidRDefault="008C7074" w:rsidP="008C7074">
      <w:pPr>
        <w:pStyle w:val="ListParagraph"/>
        <w:rPr>
          <w:rFonts w:cs="Arial"/>
        </w:rPr>
      </w:pPr>
    </w:p>
    <w:p w14:paraId="078FBACA" w14:textId="4CB0AB57" w:rsidR="008C7074" w:rsidRPr="00B9638F" w:rsidRDefault="00ED1277" w:rsidP="00957B78">
      <w:pPr>
        <w:pStyle w:val="ListParagraph"/>
        <w:numPr>
          <w:ilvl w:val="0"/>
          <w:numId w:val="12"/>
        </w:numPr>
        <w:rPr>
          <w:rFonts w:cs="Arial"/>
        </w:rPr>
      </w:pPr>
      <w:r w:rsidRPr="00B9638F">
        <w:rPr>
          <w:rFonts w:cs="Arial"/>
        </w:rPr>
        <w:t>a</w:t>
      </w:r>
      <w:r w:rsidR="001F55A9" w:rsidRPr="00B9638F">
        <w:rPr>
          <w:rFonts w:cs="Arial"/>
        </w:rPr>
        <w:t xml:space="preserve"> CQC rating of at least </w:t>
      </w:r>
      <w:r w:rsidR="00957B78" w:rsidRPr="00B9638F">
        <w:rPr>
          <w:rFonts w:cs="Arial"/>
        </w:rPr>
        <w:t>G</w:t>
      </w:r>
      <w:r w:rsidR="001F55A9" w:rsidRPr="00B9638F">
        <w:rPr>
          <w:rFonts w:cs="Arial"/>
        </w:rPr>
        <w:t>ood</w:t>
      </w:r>
    </w:p>
    <w:p w14:paraId="344B0188" w14:textId="2AC4BBF8" w:rsidR="001F55A9" w:rsidRPr="00B9638F" w:rsidRDefault="00056398" w:rsidP="00957B78">
      <w:pPr>
        <w:pStyle w:val="ListParagraph"/>
        <w:numPr>
          <w:ilvl w:val="0"/>
          <w:numId w:val="12"/>
        </w:numPr>
        <w:rPr>
          <w:rFonts w:cs="Arial"/>
        </w:rPr>
      </w:pPr>
      <w:r w:rsidRPr="00B9638F">
        <w:rPr>
          <w:rFonts w:cs="Arial"/>
        </w:rPr>
        <w:t>a</w:t>
      </w:r>
      <w:r w:rsidR="001F55A9" w:rsidRPr="00B9638F">
        <w:rPr>
          <w:rFonts w:cs="Arial"/>
        </w:rPr>
        <w:t xml:space="preserve">ligned to WLA </w:t>
      </w:r>
      <w:r w:rsidR="009C7DA0" w:rsidRPr="00B9638F">
        <w:rPr>
          <w:rFonts w:cs="Arial"/>
        </w:rPr>
        <w:t xml:space="preserve">rates for new dementia </w:t>
      </w:r>
      <w:r w:rsidR="008701B0" w:rsidRPr="00B9638F">
        <w:rPr>
          <w:rFonts w:cs="Arial"/>
        </w:rPr>
        <w:t>and non</w:t>
      </w:r>
      <w:r w:rsidR="00FA5E05" w:rsidRPr="00B9638F">
        <w:rPr>
          <w:rFonts w:cs="Arial"/>
        </w:rPr>
        <w:t>-</w:t>
      </w:r>
      <w:r w:rsidR="008701B0" w:rsidRPr="00B9638F">
        <w:rPr>
          <w:rFonts w:cs="Arial"/>
        </w:rPr>
        <w:t xml:space="preserve">dementia </w:t>
      </w:r>
      <w:r w:rsidR="009C7DA0" w:rsidRPr="00B9638F">
        <w:rPr>
          <w:rFonts w:cs="Arial"/>
        </w:rPr>
        <w:t>placements</w:t>
      </w:r>
    </w:p>
    <w:p w14:paraId="759BBE30" w14:textId="093537AE" w:rsidR="0030228C" w:rsidRPr="00B9638F" w:rsidRDefault="00056398" w:rsidP="00957B78">
      <w:pPr>
        <w:pStyle w:val="ListParagraph"/>
        <w:numPr>
          <w:ilvl w:val="0"/>
          <w:numId w:val="12"/>
        </w:numPr>
        <w:rPr>
          <w:rFonts w:cs="Arial"/>
        </w:rPr>
      </w:pPr>
      <w:r w:rsidRPr="00B9638F">
        <w:rPr>
          <w:rFonts w:cs="Arial"/>
        </w:rPr>
        <w:t>e</w:t>
      </w:r>
      <w:r w:rsidR="00916EB5" w:rsidRPr="00B9638F">
        <w:rPr>
          <w:rFonts w:cs="Arial"/>
        </w:rPr>
        <w:t>xisting Harrow Council</w:t>
      </w:r>
      <w:r w:rsidR="0030228C" w:rsidRPr="00B9638F">
        <w:rPr>
          <w:rFonts w:cs="Arial"/>
        </w:rPr>
        <w:t xml:space="preserve"> spot placements </w:t>
      </w:r>
    </w:p>
    <w:p w14:paraId="0FA43FEE" w14:textId="5E26FCC8" w:rsidR="00D76A59" w:rsidRPr="00B9638F" w:rsidRDefault="00056398" w:rsidP="00957B78">
      <w:pPr>
        <w:pStyle w:val="ListParagraph"/>
        <w:numPr>
          <w:ilvl w:val="0"/>
          <w:numId w:val="12"/>
        </w:numPr>
        <w:rPr>
          <w:rFonts w:cs="Arial"/>
        </w:rPr>
      </w:pPr>
      <w:r w:rsidRPr="00B9638F">
        <w:rPr>
          <w:rFonts w:cs="Arial"/>
        </w:rPr>
        <w:t>t</w:t>
      </w:r>
      <w:r w:rsidR="00E309DC" w:rsidRPr="00B9638F">
        <w:rPr>
          <w:rFonts w:cs="Arial"/>
        </w:rPr>
        <w:t xml:space="preserve">rained staff able to meet the needs of culturally specific groups that reflect </w:t>
      </w:r>
      <w:r w:rsidR="00FA5E05" w:rsidRPr="00B9638F">
        <w:rPr>
          <w:rFonts w:cs="Arial"/>
        </w:rPr>
        <w:t xml:space="preserve">Harrow’s </w:t>
      </w:r>
      <w:r w:rsidR="00E309DC" w:rsidRPr="00B9638F">
        <w:rPr>
          <w:rFonts w:cs="Arial"/>
        </w:rPr>
        <w:t>diverse population</w:t>
      </w:r>
    </w:p>
    <w:p w14:paraId="3904A2FF" w14:textId="10BAFAB2" w:rsidR="00E309DC" w:rsidRPr="00B9638F" w:rsidRDefault="00056398" w:rsidP="00957B78">
      <w:pPr>
        <w:pStyle w:val="ListParagraph"/>
        <w:numPr>
          <w:ilvl w:val="0"/>
          <w:numId w:val="12"/>
        </w:numPr>
        <w:rPr>
          <w:rFonts w:cs="Arial"/>
        </w:rPr>
      </w:pPr>
      <w:r w:rsidRPr="00B9638F">
        <w:rPr>
          <w:rFonts w:cs="Arial"/>
        </w:rPr>
        <w:t>c</w:t>
      </w:r>
      <w:r w:rsidR="00BD5D93" w:rsidRPr="00B9638F">
        <w:rPr>
          <w:rFonts w:cs="Arial"/>
        </w:rPr>
        <w:t>ommit</w:t>
      </w:r>
      <w:r w:rsidR="00D51A13" w:rsidRPr="00B9638F">
        <w:rPr>
          <w:rFonts w:cs="Arial"/>
        </w:rPr>
        <w:t xml:space="preserve">ted </w:t>
      </w:r>
      <w:r w:rsidR="00ED08E9" w:rsidRPr="00B9638F">
        <w:rPr>
          <w:rFonts w:cs="Arial"/>
        </w:rPr>
        <w:t xml:space="preserve">to work with </w:t>
      </w:r>
      <w:r w:rsidR="00793661" w:rsidRPr="00B9638F">
        <w:rPr>
          <w:rFonts w:cs="Arial"/>
        </w:rPr>
        <w:t xml:space="preserve">Harrow’s Quality Assurance, Contract Monitoring, Brokerage and </w:t>
      </w:r>
      <w:r w:rsidR="001537BC" w:rsidRPr="00B9638F">
        <w:rPr>
          <w:rFonts w:cs="Arial"/>
        </w:rPr>
        <w:t>Commissioning Officers throughout the lifetime of the contract</w:t>
      </w:r>
    </w:p>
    <w:p w14:paraId="60EFB86D" w14:textId="4FC9AD5D" w:rsidR="009C0F1F" w:rsidRPr="00B9638F" w:rsidRDefault="00D76A59" w:rsidP="00165ADB">
      <w:pPr>
        <w:rPr>
          <w:rFonts w:cs="Arial"/>
        </w:rPr>
      </w:pPr>
      <w:r w:rsidRPr="00B9638F">
        <w:rPr>
          <w:rFonts w:cs="Arial"/>
        </w:rPr>
        <w:tab/>
      </w:r>
    </w:p>
    <w:p w14:paraId="244210AB" w14:textId="6E852197" w:rsidR="00F108FE" w:rsidRPr="00B9638F" w:rsidRDefault="00F108FE" w:rsidP="00613F21">
      <w:pPr>
        <w:ind w:left="567"/>
        <w:rPr>
          <w:rFonts w:cs="Arial"/>
          <w:b/>
          <w:bCs/>
          <w:u w:val="single"/>
        </w:rPr>
      </w:pPr>
      <w:r w:rsidRPr="00B9638F">
        <w:rPr>
          <w:rFonts w:cs="Arial"/>
          <w:b/>
          <w:bCs/>
          <w:u w:val="single"/>
        </w:rPr>
        <w:t>Extra Care</w:t>
      </w:r>
      <w:r w:rsidR="00EF492F" w:rsidRPr="00B9638F">
        <w:rPr>
          <w:rFonts w:cs="Arial"/>
          <w:b/>
          <w:bCs/>
          <w:u w:val="single"/>
        </w:rPr>
        <w:t xml:space="preserve"> Strategy Up-date and Next Steps</w:t>
      </w:r>
    </w:p>
    <w:p w14:paraId="42F86965" w14:textId="77777777" w:rsidR="00EF492F" w:rsidRPr="00B9638F" w:rsidRDefault="00EF492F" w:rsidP="00910AA6">
      <w:pPr>
        <w:rPr>
          <w:rFonts w:cs="Arial"/>
        </w:rPr>
      </w:pPr>
    </w:p>
    <w:p w14:paraId="3434A624" w14:textId="424986D5" w:rsidR="00653FE4" w:rsidRPr="00B9638F" w:rsidRDefault="00653FE4" w:rsidP="0032474F">
      <w:pPr>
        <w:pStyle w:val="Default"/>
        <w:numPr>
          <w:ilvl w:val="0"/>
          <w:numId w:val="6"/>
        </w:numPr>
        <w:ind w:left="567" w:hanging="567"/>
        <w:rPr>
          <w:rStyle w:val="A7"/>
          <w:rFonts w:ascii="Arial" w:hAnsi="Arial" w:cs="Arial"/>
          <w:color w:val="auto"/>
          <w:sz w:val="24"/>
          <w:szCs w:val="24"/>
        </w:rPr>
      </w:pPr>
      <w:r w:rsidRPr="00B9638F">
        <w:rPr>
          <w:rStyle w:val="A7"/>
          <w:rFonts w:ascii="Arial" w:hAnsi="Arial" w:cs="Arial"/>
          <w:color w:val="auto"/>
          <w:sz w:val="24"/>
          <w:szCs w:val="24"/>
        </w:rPr>
        <w:t xml:space="preserve">Cabinet agreed the Extra Care Strategy in November 2018. The aim of extra care housing is to meet the housing, care and support needs of older people as an alternative to residential care which are not the most appropriate or cost-effective approaches to meet needs and maintain health and wellbeing. This is particularly important in the context of an </w:t>
      </w:r>
      <w:r w:rsidRPr="00B9638F">
        <w:rPr>
          <w:rStyle w:val="A7"/>
          <w:rFonts w:ascii="Arial" w:hAnsi="Arial" w:cs="Arial"/>
          <w:color w:val="auto"/>
          <w:sz w:val="24"/>
          <w:szCs w:val="24"/>
        </w:rPr>
        <w:lastRenderedPageBreak/>
        <w:t xml:space="preserve">ageing population, increasing demand for services and budget challenges in local government. </w:t>
      </w:r>
    </w:p>
    <w:p w14:paraId="19C66330" w14:textId="6AD7D8B0" w:rsidR="00653FE4" w:rsidRPr="00B9638F" w:rsidRDefault="00653FE4" w:rsidP="0042193E">
      <w:pPr>
        <w:pStyle w:val="Default"/>
        <w:ind w:left="567" w:hanging="567"/>
        <w:rPr>
          <w:rStyle w:val="A7"/>
          <w:rFonts w:ascii="Arial" w:hAnsi="Arial" w:cs="Arial"/>
          <w:color w:val="auto"/>
          <w:sz w:val="24"/>
          <w:szCs w:val="24"/>
        </w:rPr>
      </w:pPr>
    </w:p>
    <w:p w14:paraId="5AB5BDA1" w14:textId="3C38C7C6" w:rsidR="00932233" w:rsidRPr="00B9638F" w:rsidRDefault="00D743DF" w:rsidP="0032474F">
      <w:pPr>
        <w:pStyle w:val="Default"/>
        <w:numPr>
          <w:ilvl w:val="0"/>
          <w:numId w:val="6"/>
        </w:numPr>
        <w:ind w:left="567" w:hanging="567"/>
        <w:rPr>
          <w:rStyle w:val="A7"/>
          <w:rFonts w:cs="Arial"/>
          <w:color w:val="auto"/>
          <w:sz w:val="24"/>
          <w:szCs w:val="24"/>
        </w:rPr>
      </w:pPr>
      <w:r w:rsidRPr="00B9638F">
        <w:rPr>
          <w:rStyle w:val="A7"/>
          <w:rFonts w:ascii="Arial" w:hAnsi="Arial" w:cs="Arial"/>
          <w:color w:val="auto"/>
          <w:sz w:val="24"/>
          <w:szCs w:val="24"/>
        </w:rPr>
        <w:t>An up-date report was presented in November 2020</w:t>
      </w:r>
      <w:r w:rsidR="00EF492F" w:rsidRPr="00B9638F">
        <w:rPr>
          <w:rStyle w:val="A7"/>
          <w:rFonts w:ascii="Arial" w:hAnsi="Arial" w:cs="Arial"/>
          <w:color w:val="auto"/>
          <w:sz w:val="24"/>
          <w:szCs w:val="24"/>
        </w:rPr>
        <w:t xml:space="preserve"> and </w:t>
      </w:r>
      <w:r w:rsidR="00924A7B" w:rsidRPr="00B9638F">
        <w:rPr>
          <w:rStyle w:val="A7"/>
          <w:rFonts w:ascii="Arial" w:hAnsi="Arial" w:cs="Arial"/>
          <w:color w:val="auto"/>
          <w:sz w:val="24"/>
          <w:szCs w:val="24"/>
        </w:rPr>
        <w:t xml:space="preserve">Cabinet agreed the delegation of </w:t>
      </w:r>
      <w:r w:rsidR="00617DD7" w:rsidRPr="00B9638F">
        <w:rPr>
          <w:rStyle w:val="A7"/>
          <w:rFonts w:ascii="Arial" w:hAnsi="Arial" w:cs="Arial"/>
          <w:color w:val="auto"/>
          <w:sz w:val="24"/>
          <w:szCs w:val="24"/>
        </w:rPr>
        <w:t xml:space="preserve">authority for the </w:t>
      </w:r>
      <w:r w:rsidR="00924A7B" w:rsidRPr="00B9638F">
        <w:rPr>
          <w:rStyle w:val="A7"/>
          <w:rFonts w:ascii="Arial" w:hAnsi="Arial" w:cs="Arial"/>
          <w:color w:val="auto"/>
          <w:sz w:val="24"/>
          <w:szCs w:val="24"/>
        </w:rPr>
        <w:t xml:space="preserve">procurement and award of </w:t>
      </w:r>
      <w:r w:rsidR="00617DD7" w:rsidRPr="00B9638F">
        <w:rPr>
          <w:rStyle w:val="A7"/>
          <w:rFonts w:ascii="Arial" w:hAnsi="Arial" w:cs="Arial"/>
          <w:color w:val="auto"/>
          <w:sz w:val="24"/>
          <w:szCs w:val="24"/>
        </w:rPr>
        <w:t>a contract for the care and well</w:t>
      </w:r>
      <w:r w:rsidR="0000601C" w:rsidRPr="00B9638F">
        <w:rPr>
          <w:rStyle w:val="A7"/>
          <w:rFonts w:ascii="Arial" w:hAnsi="Arial" w:cs="Arial"/>
          <w:color w:val="auto"/>
          <w:sz w:val="24"/>
          <w:szCs w:val="24"/>
        </w:rPr>
        <w:t>-</w:t>
      </w:r>
      <w:r w:rsidR="00617DD7" w:rsidRPr="00B9638F">
        <w:rPr>
          <w:rStyle w:val="A7"/>
          <w:rFonts w:ascii="Arial" w:hAnsi="Arial" w:cs="Arial"/>
          <w:color w:val="auto"/>
          <w:sz w:val="24"/>
          <w:szCs w:val="24"/>
        </w:rPr>
        <w:t xml:space="preserve">being service for Ewart House. This procurement has been completed and </w:t>
      </w:r>
      <w:r w:rsidR="00FB03B4" w:rsidRPr="00B9638F">
        <w:rPr>
          <w:rStyle w:val="A7"/>
          <w:rFonts w:ascii="Arial" w:hAnsi="Arial" w:cs="Arial"/>
          <w:color w:val="auto"/>
          <w:sz w:val="24"/>
          <w:szCs w:val="24"/>
        </w:rPr>
        <w:t>Metro</w:t>
      </w:r>
      <w:r w:rsidR="00190727" w:rsidRPr="00B9638F">
        <w:rPr>
          <w:rStyle w:val="A7"/>
          <w:rFonts w:ascii="Arial" w:hAnsi="Arial" w:cs="Arial"/>
          <w:color w:val="auto"/>
          <w:sz w:val="24"/>
          <w:szCs w:val="24"/>
        </w:rPr>
        <w:t xml:space="preserve">politan Thames Valley Housing have been appointed with effect from July 2022. </w:t>
      </w:r>
    </w:p>
    <w:p w14:paraId="620D993A" w14:textId="77777777" w:rsidR="0042193E" w:rsidRPr="00B9638F" w:rsidRDefault="0042193E" w:rsidP="0042193E">
      <w:pPr>
        <w:pStyle w:val="Default"/>
        <w:ind w:left="567" w:hanging="567"/>
        <w:rPr>
          <w:rFonts w:cs="Arial"/>
          <w:color w:val="auto"/>
        </w:rPr>
      </w:pPr>
    </w:p>
    <w:p w14:paraId="0E6EEB46" w14:textId="460C545F" w:rsidR="00932233" w:rsidRPr="00B9638F" w:rsidRDefault="00932233" w:rsidP="0032474F">
      <w:pPr>
        <w:pStyle w:val="Default"/>
        <w:numPr>
          <w:ilvl w:val="0"/>
          <w:numId w:val="6"/>
        </w:numPr>
        <w:ind w:left="567" w:hanging="567"/>
        <w:rPr>
          <w:rFonts w:cs="Arial"/>
          <w:color w:val="auto"/>
        </w:rPr>
      </w:pPr>
      <w:r w:rsidRPr="00B9638F">
        <w:rPr>
          <w:rFonts w:cs="Arial"/>
          <w:color w:val="auto"/>
        </w:rPr>
        <w:t xml:space="preserve">The build of the Extra Care scheme on Harrow View East is nearing completion with a current timeline of November 2022 and the owners of the land, Harrow LLP, have leased the building to the Registered Housing Provider, Octavia Housing. </w:t>
      </w:r>
      <w:r w:rsidR="00621889" w:rsidRPr="00B9638F">
        <w:rPr>
          <w:rFonts w:cs="Arial"/>
          <w:color w:val="auto"/>
        </w:rPr>
        <w:t xml:space="preserve">There are 60 units in the provision and this will be the second extra care facility in Harrow. </w:t>
      </w:r>
      <w:r w:rsidR="00190727" w:rsidRPr="00B9638F">
        <w:rPr>
          <w:rFonts w:cs="Arial"/>
          <w:color w:val="auto"/>
        </w:rPr>
        <w:t xml:space="preserve">The </w:t>
      </w:r>
      <w:r w:rsidR="00621889" w:rsidRPr="00B9638F">
        <w:rPr>
          <w:rFonts w:cs="Arial"/>
          <w:color w:val="auto"/>
        </w:rPr>
        <w:t>C</w:t>
      </w:r>
      <w:r w:rsidR="00190727" w:rsidRPr="00B9638F">
        <w:rPr>
          <w:rFonts w:cs="Arial"/>
          <w:color w:val="auto"/>
        </w:rPr>
        <w:t xml:space="preserve">ouncil now need to undertake a procurement exercise to appoint a provider for the care and wellbeing </w:t>
      </w:r>
      <w:r w:rsidR="002B5889" w:rsidRPr="00B9638F">
        <w:rPr>
          <w:rFonts w:cs="Arial"/>
          <w:color w:val="auto"/>
        </w:rPr>
        <w:t>s</w:t>
      </w:r>
      <w:r w:rsidR="00190727" w:rsidRPr="00B9638F">
        <w:rPr>
          <w:rFonts w:cs="Arial"/>
          <w:color w:val="auto"/>
        </w:rPr>
        <w:t xml:space="preserve">ervice. </w:t>
      </w:r>
    </w:p>
    <w:p w14:paraId="581F147C" w14:textId="77777777" w:rsidR="00C212F8" w:rsidRPr="00B9638F" w:rsidRDefault="00C212F8" w:rsidP="0042193E">
      <w:pPr>
        <w:pStyle w:val="Default"/>
        <w:ind w:left="567" w:hanging="567"/>
        <w:rPr>
          <w:rFonts w:cs="Arial"/>
          <w:color w:val="auto"/>
        </w:rPr>
      </w:pPr>
    </w:p>
    <w:p w14:paraId="7AEDA13E" w14:textId="3BAD0A68" w:rsidR="00FB03B4" w:rsidRPr="00B9638F" w:rsidRDefault="00FB03B4" w:rsidP="0032474F">
      <w:pPr>
        <w:pStyle w:val="Default"/>
        <w:numPr>
          <w:ilvl w:val="0"/>
          <w:numId w:val="6"/>
        </w:numPr>
        <w:ind w:left="567" w:hanging="567"/>
        <w:rPr>
          <w:rFonts w:cs="Arial"/>
          <w:color w:val="auto"/>
        </w:rPr>
      </w:pPr>
      <w:r w:rsidRPr="00B9638F">
        <w:rPr>
          <w:rFonts w:cs="Arial"/>
          <w:color w:val="auto"/>
        </w:rPr>
        <w:t xml:space="preserve">It is estimated that the service will have an expenditure in excess of £1M per annum however, this will not all be additional expenditure as citizens will be identified by </w:t>
      </w:r>
      <w:r w:rsidR="00FA5E05" w:rsidRPr="00B9638F">
        <w:rPr>
          <w:rFonts w:cs="Arial"/>
          <w:color w:val="auto"/>
        </w:rPr>
        <w:t>Adult Social Care (</w:t>
      </w:r>
      <w:r w:rsidRPr="00B9638F">
        <w:rPr>
          <w:rFonts w:cs="Arial"/>
          <w:color w:val="auto"/>
        </w:rPr>
        <w:t>ASC</w:t>
      </w:r>
      <w:r w:rsidR="00FA5E05" w:rsidRPr="00B9638F">
        <w:rPr>
          <w:rFonts w:cs="Arial"/>
          <w:color w:val="auto"/>
        </w:rPr>
        <w:t>)</w:t>
      </w:r>
      <w:r w:rsidRPr="00B9638F">
        <w:rPr>
          <w:rFonts w:cs="Arial"/>
          <w:color w:val="auto"/>
        </w:rPr>
        <w:t xml:space="preserve"> and will already be in receipt of a care package.  An exercise is currently being undertaken to identify suitable citizens</w:t>
      </w:r>
      <w:r w:rsidR="00BC213B" w:rsidRPr="00B9638F">
        <w:rPr>
          <w:rFonts w:cs="Arial"/>
          <w:color w:val="auto"/>
        </w:rPr>
        <w:t xml:space="preserve"> for the extra care scheme. </w:t>
      </w:r>
    </w:p>
    <w:p w14:paraId="094FB838" w14:textId="77777777" w:rsidR="00FB03B4" w:rsidRPr="00B9638F" w:rsidRDefault="00FB03B4" w:rsidP="0042193E">
      <w:pPr>
        <w:pStyle w:val="ListParagraph"/>
        <w:ind w:left="567" w:hanging="567"/>
        <w:rPr>
          <w:rFonts w:cs="Arial"/>
        </w:rPr>
      </w:pPr>
    </w:p>
    <w:p w14:paraId="045E9844" w14:textId="682E0659" w:rsidR="00FB03B4" w:rsidRPr="00B9638F" w:rsidRDefault="00FB03B4" w:rsidP="0032474F">
      <w:pPr>
        <w:pStyle w:val="Default"/>
        <w:numPr>
          <w:ilvl w:val="0"/>
          <w:numId w:val="6"/>
        </w:numPr>
        <w:ind w:left="567" w:hanging="567"/>
        <w:rPr>
          <w:rFonts w:cs="Arial"/>
          <w:color w:val="auto"/>
        </w:rPr>
      </w:pPr>
      <w:r w:rsidRPr="00B9638F">
        <w:rPr>
          <w:rFonts w:cs="Arial"/>
          <w:color w:val="auto"/>
        </w:rPr>
        <w:t>It is proposed that the contract will be for 3 years with the option to extend for a further 2 years in 1</w:t>
      </w:r>
      <w:r w:rsidR="0000601C" w:rsidRPr="00B9638F">
        <w:rPr>
          <w:rFonts w:cs="Arial"/>
          <w:color w:val="auto"/>
        </w:rPr>
        <w:t>-</w:t>
      </w:r>
      <w:r w:rsidRPr="00B9638F">
        <w:rPr>
          <w:rFonts w:cs="Arial"/>
          <w:color w:val="auto"/>
        </w:rPr>
        <w:t xml:space="preserve">year increments.  This will bring the provision in line with that of the existing Extra Care scheme, Ewart House, to provide the </w:t>
      </w:r>
      <w:r w:rsidR="00C41623" w:rsidRPr="00B9638F">
        <w:rPr>
          <w:rFonts w:cs="Arial"/>
          <w:color w:val="auto"/>
        </w:rPr>
        <w:t xml:space="preserve">future </w:t>
      </w:r>
      <w:r w:rsidRPr="00B9638F">
        <w:rPr>
          <w:rFonts w:cs="Arial"/>
          <w:color w:val="auto"/>
        </w:rPr>
        <w:t>opportunity to go out to tender for both schemes at the same time</w:t>
      </w:r>
      <w:r w:rsidR="00FA5E05" w:rsidRPr="00B9638F">
        <w:rPr>
          <w:rFonts w:cs="Arial"/>
          <w:color w:val="auto"/>
        </w:rPr>
        <w:t xml:space="preserve">, with the </w:t>
      </w:r>
      <w:r w:rsidR="002F3EA0" w:rsidRPr="00B9638F">
        <w:rPr>
          <w:rFonts w:cs="Arial"/>
          <w:color w:val="auto"/>
        </w:rPr>
        <w:t>intention that the</w:t>
      </w:r>
      <w:r w:rsidR="00FA5E05" w:rsidRPr="00B9638F">
        <w:rPr>
          <w:rFonts w:cs="Arial"/>
          <w:color w:val="auto"/>
        </w:rPr>
        <w:t xml:space="preserve"> economies of scale will generate reduced costs from any providers tendering</w:t>
      </w:r>
      <w:r w:rsidRPr="00B9638F">
        <w:rPr>
          <w:rFonts w:cs="Arial"/>
          <w:color w:val="auto"/>
        </w:rPr>
        <w:t>.</w:t>
      </w:r>
    </w:p>
    <w:p w14:paraId="3C040E2B" w14:textId="77777777" w:rsidR="00FB03B4" w:rsidRPr="00B9638F" w:rsidRDefault="00FB03B4" w:rsidP="0042193E">
      <w:pPr>
        <w:pStyle w:val="ListParagraph"/>
        <w:ind w:left="567" w:hanging="567"/>
        <w:rPr>
          <w:rFonts w:cs="Arial"/>
        </w:rPr>
      </w:pPr>
    </w:p>
    <w:p w14:paraId="1C8CAAA5" w14:textId="773CA172" w:rsidR="00F108FE" w:rsidRPr="00B9638F" w:rsidRDefault="00FB03B4" w:rsidP="0032474F">
      <w:pPr>
        <w:pStyle w:val="Default"/>
        <w:numPr>
          <w:ilvl w:val="0"/>
          <w:numId w:val="6"/>
        </w:numPr>
        <w:ind w:left="567" w:hanging="567"/>
        <w:rPr>
          <w:rFonts w:cs="Arial"/>
          <w:color w:val="auto"/>
        </w:rPr>
      </w:pPr>
      <w:r w:rsidRPr="00B9638F">
        <w:rPr>
          <w:rFonts w:cs="Arial"/>
          <w:color w:val="auto"/>
        </w:rPr>
        <w:t xml:space="preserve">A </w:t>
      </w:r>
      <w:r w:rsidR="00FA5E05" w:rsidRPr="00B9638F">
        <w:rPr>
          <w:rFonts w:cs="Arial"/>
          <w:color w:val="auto"/>
        </w:rPr>
        <w:t>Prior Information Notice (</w:t>
      </w:r>
      <w:r w:rsidRPr="00B9638F">
        <w:rPr>
          <w:rFonts w:cs="Arial"/>
          <w:color w:val="auto"/>
        </w:rPr>
        <w:t>PIN</w:t>
      </w:r>
      <w:r w:rsidR="00FA5E05" w:rsidRPr="00B9638F">
        <w:rPr>
          <w:rFonts w:cs="Arial"/>
          <w:color w:val="auto"/>
        </w:rPr>
        <w:t>)</w:t>
      </w:r>
      <w:r w:rsidRPr="00B9638F">
        <w:rPr>
          <w:rFonts w:cs="Arial"/>
          <w:color w:val="auto"/>
        </w:rPr>
        <w:t xml:space="preserve"> notice </w:t>
      </w:r>
      <w:r w:rsidR="00BC213B" w:rsidRPr="00B9638F">
        <w:rPr>
          <w:rFonts w:cs="Arial"/>
          <w:color w:val="auto"/>
        </w:rPr>
        <w:t>has been</w:t>
      </w:r>
      <w:r w:rsidRPr="00B9638F">
        <w:rPr>
          <w:rFonts w:cs="Arial"/>
          <w:color w:val="auto"/>
        </w:rPr>
        <w:t xml:space="preserve"> issued to </w:t>
      </w:r>
      <w:r w:rsidR="00BC213B" w:rsidRPr="00B9638F">
        <w:rPr>
          <w:rFonts w:cs="Arial"/>
          <w:color w:val="auto"/>
        </w:rPr>
        <w:t>inform</w:t>
      </w:r>
      <w:r w:rsidRPr="00B9638F">
        <w:rPr>
          <w:rFonts w:cs="Arial"/>
          <w:color w:val="auto"/>
        </w:rPr>
        <w:t xml:space="preserve"> the market </w:t>
      </w:r>
      <w:r w:rsidR="00BC213B" w:rsidRPr="00B9638F">
        <w:rPr>
          <w:rFonts w:cs="Arial"/>
          <w:color w:val="auto"/>
        </w:rPr>
        <w:t xml:space="preserve">that the Council will be </w:t>
      </w:r>
      <w:r w:rsidRPr="00B9638F">
        <w:rPr>
          <w:rFonts w:cs="Arial"/>
          <w:color w:val="auto"/>
        </w:rPr>
        <w:t>tender</w:t>
      </w:r>
      <w:r w:rsidR="00BC213B" w:rsidRPr="00B9638F">
        <w:rPr>
          <w:rFonts w:cs="Arial"/>
          <w:color w:val="auto"/>
        </w:rPr>
        <w:t>ing</w:t>
      </w:r>
      <w:r w:rsidRPr="00B9638F">
        <w:rPr>
          <w:rFonts w:cs="Arial"/>
          <w:color w:val="auto"/>
        </w:rPr>
        <w:t xml:space="preserve"> for the service.  </w:t>
      </w:r>
      <w:r w:rsidR="00673614" w:rsidRPr="00B9638F">
        <w:rPr>
          <w:rFonts w:cs="Arial"/>
          <w:color w:val="auto"/>
        </w:rPr>
        <w:t xml:space="preserve">The tender will be launched on 22 July 2022 and the </w:t>
      </w:r>
      <w:r w:rsidR="00C41623" w:rsidRPr="00B9638F">
        <w:rPr>
          <w:rFonts w:cs="Arial"/>
          <w:color w:val="auto"/>
        </w:rPr>
        <w:t xml:space="preserve">successful </w:t>
      </w:r>
      <w:r w:rsidR="00673614" w:rsidRPr="00B9638F">
        <w:rPr>
          <w:rFonts w:cs="Arial"/>
          <w:color w:val="auto"/>
        </w:rPr>
        <w:t>provider</w:t>
      </w:r>
      <w:r w:rsidR="00C41623" w:rsidRPr="00B9638F">
        <w:rPr>
          <w:rFonts w:cs="Arial"/>
          <w:color w:val="auto"/>
        </w:rPr>
        <w:t xml:space="preserve"> following the tender</w:t>
      </w:r>
      <w:r w:rsidR="00673614" w:rsidRPr="00B9638F">
        <w:rPr>
          <w:rFonts w:cs="Arial"/>
          <w:color w:val="auto"/>
        </w:rPr>
        <w:t xml:space="preserve"> will be appointed by the end of October 2022.</w:t>
      </w:r>
    </w:p>
    <w:p w14:paraId="1EAEED2A" w14:textId="77777777" w:rsidR="00F108FE" w:rsidRPr="00B9638F" w:rsidRDefault="00F108FE" w:rsidP="0042193E">
      <w:pPr>
        <w:ind w:left="567" w:hanging="567"/>
        <w:rPr>
          <w:rFonts w:cs="Arial"/>
        </w:rPr>
      </w:pPr>
    </w:p>
    <w:p w14:paraId="0DB2E6D8" w14:textId="0942C83B" w:rsidR="0042193E" w:rsidRPr="00B9638F" w:rsidRDefault="00307F76" w:rsidP="00613F21">
      <w:pPr>
        <w:pStyle w:val="ListParagraph"/>
        <w:ind w:left="567"/>
        <w:rPr>
          <w:b/>
          <w:szCs w:val="24"/>
        </w:rPr>
      </w:pPr>
      <w:r w:rsidRPr="00B9638F">
        <w:rPr>
          <w:b/>
          <w:szCs w:val="24"/>
        </w:rPr>
        <w:t>Ward Councillors’ comments</w:t>
      </w:r>
    </w:p>
    <w:p w14:paraId="62082845" w14:textId="77777777" w:rsidR="0042193E" w:rsidRPr="00B9638F" w:rsidRDefault="0042193E" w:rsidP="0042193E">
      <w:pPr>
        <w:pStyle w:val="ListParagraph"/>
        <w:ind w:left="567"/>
        <w:rPr>
          <w:b/>
          <w:szCs w:val="24"/>
        </w:rPr>
      </w:pPr>
    </w:p>
    <w:p w14:paraId="46F07B30" w14:textId="5ACD101F" w:rsidR="00955421" w:rsidRPr="00B9638F" w:rsidRDefault="00D63BDA" w:rsidP="0032474F">
      <w:pPr>
        <w:pStyle w:val="ListParagraph"/>
        <w:numPr>
          <w:ilvl w:val="0"/>
          <w:numId w:val="6"/>
        </w:numPr>
        <w:ind w:left="567" w:hanging="567"/>
        <w:rPr>
          <w:bCs/>
        </w:rPr>
      </w:pPr>
      <w:r w:rsidRPr="00B9638F">
        <w:rPr>
          <w:bCs/>
        </w:rPr>
        <w:t>None. The proposals in this report affect all wards in Harrow.</w:t>
      </w:r>
    </w:p>
    <w:p w14:paraId="0B638F50" w14:textId="057DA27E" w:rsidR="00107C0D" w:rsidRPr="00B9638F" w:rsidRDefault="00107C0D" w:rsidP="006B2371">
      <w:pPr>
        <w:rPr>
          <w:iCs/>
        </w:rPr>
      </w:pPr>
    </w:p>
    <w:p w14:paraId="72279131" w14:textId="77777777" w:rsidR="00107C0D" w:rsidRPr="00B9638F" w:rsidRDefault="00107C0D" w:rsidP="00107C0D">
      <w:pPr>
        <w:pStyle w:val="ListParagraph"/>
        <w:ind w:left="567"/>
        <w:rPr>
          <w:rFonts w:cs="Arial"/>
          <w:b/>
          <w:bCs/>
          <w:szCs w:val="24"/>
        </w:rPr>
      </w:pPr>
      <w:r w:rsidRPr="00B9638F">
        <w:rPr>
          <w:rFonts w:cs="Arial"/>
          <w:b/>
          <w:bCs/>
          <w:szCs w:val="24"/>
        </w:rPr>
        <w:t>Performance Issues</w:t>
      </w:r>
    </w:p>
    <w:p w14:paraId="2DF6DA75" w14:textId="77777777" w:rsidR="00107C0D" w:rsidRPr="00B9638F" w:rsidRDefault="00107C0D" w:rsidP="006B2371">
      <w:pPr>
        <w:rPr>
          <w:iCs/>
        </w:rPr>
      </w:pPr>
    </w:p>
    <w:p w14:paraId="6A48AF87" w14:textId="6A183EA2" w:rsidR="00362ECF" w:rsidRPr="00B9638F" w:rsidRDefault="00362ECF" w:rsidP="00362ECF">
      <w:pPr>
        <w:pStyle w:val="ListParagraph"/>
        <w:numPr>
          <w:ilvl w:val="0"/>
          <w:numId w:val="6"/>
        </w:numPr>
        <w:ind w:left="567" w:hanging="567"/>
        <w:rPr>
          <w:iCs/>
        </w:rPr>
      </w:pPr>
      <w:r w:rsidRPr="00B9638F">
        <w:t>Together the proposals for the ASC Bedded Care Strategy and Extra Care will help the council in meeting some of the Adult Social Care Outcomes Framework (ASCOF)</w:t>
      </w:r>
      <w:r w:rsidR="00E02B78" w:rsidRPr="00B9638F">
        <w:t>.</w:t>
      </w:r>
    </w:p>
    <w:p w14:paraId="3F27CA0F" w14:textId="77777777" w:rsidR="00613F21" w:rsidRPr="00B9638F" w:rsidRDefault="00613F21" w:rsidP="00613F21">
      <w:pPr>
        <w:pStyle w:val="ListParagraph"/>
        <w:ind w:left="567"/>
        <w:rPr>
          <w:iCs/>
        </w:rPr>
      </w:pPr>
    </w:p>
    <w:p w14:paraId="12F6DF12" w14:textId="77777777" w:rsidR="00713C7D" w:rsidRPr="00B9638F" w:rsidRDefault="00713C7D" w:rsidP="00613F21">
      <w:pPr>
        <w:pStyle w:val="ListParagraph"/>
        <w:numPr>
          <w:ilvl w:val="0"/>
          <w:numId w:val="6"/>
        </w:numPr>
        <w:ind w:left="567" w:hanging="567"/>
        <w:rPr>
          <w:rFonts w:ascii="Calibri" w:hAnsi="Calibri"/>
          <w:szCs w:val="24"/>
        </w:rPr>
      </w:pPr>
      <w:r w:rsidRPr="00B9638F">
        <w:rPr>
          <w:rFonts w:cs="Arial"/>
          <w:szCs w:val="24"/>
        </w:rPr>
        <w:t>The Adult Social Care Outcomes Framework (ASCOF) measures how well care and support services achieve the outcomes that matter most to people. The ASCOF is used both locally and nationally to set priorities for care and support, measure progress and strengthen transparency and accountability.</w:t>
      </w:r>
    </w:p>
    <w:p w14:paraId="0182B287" w14:textId="77777777" w:rsidR="00362ECF" w:rsidRPr="00B9638F" w:rsidRDefault="00362ECF" w:rsidP="00362ECF">
      <w:pPr>
        <w:pStyle w:val="ListParagraph"/>
        <w:ind w:left="567"/>
      </w:pPr>
    </w:p>
    <w:p w14:paraId="0E07886A" w14:textId="020A6562" w:rsidR="00362ECF" w:rsidRPr="00B9638F" w:rsidRDefault="00613F21" w:rsidP="00362ECF">
      <w:pPr>
        <w:pStyle w:val="ListParagraph"/>
        <w:ind w:left="567"/>
      </w:pPr>
      <w:r w:rsidRPr="00B9638F">
        <w:t>Measures include</w:t>
      </w:r>
      <w:r w:rsidR="00362ECF" w:rsidRPr="00B9638F">
        <w:t xml:space="preserve">: </w:t>
      </w:r>
    </w:p>
    <w:p w14:paraId="5208F3CB" w14:textId="77777777" w:rsidR="00362ECF" w:rsidRPr="00B9638F" w:rsidRDefault="00362ECF" w:rsidP="00362ECF">
      <w:pPr>
        <w:pStyle w:val="ListParagraph"/>
      </w:pPr>
    </w:p>
    <w:p w14:paraId="3C7D9B4F" w14:textId="77777777" w:rsidR="00362ECF" w:rsidRPr="00B9638F" w:rsidRDefault="00362ECF" w:rsidP="00362ECF">
      <w:pPr>
        <w:pStyle w:val="ListParagraph"/>
        <w:numPr>
          <w:ilvl w:val="0"/>
          <w:numId w:val="15"/>
        </w:numPr>
      </w:pPr>
      <w:r w:rsidRPr="00B9638F">
        <w:lastRenderedPageBreak/>
        <w:t>reducing out of borough placements (local indicator)</w:t>
      </w:r>
    </w:p>
    <w:p w14:paraId="39BBFEB7" w14:textId="77777777" w:rsidR="00362ECF" w:rsidRPr="00B9638F" w:rsidRDefault="00362ECF" w:rsidP="00362ECF">
      <w:pPr>
        <w:pStyle w:val="ListParagraph"/>
        <w:numPr>
          <w:ilvl w:val="0"/>
          <w:numId w:val="15"/>
        </w:numPr>
      </w:pPr>
      <w:r w:rsidRPr="00B9638F">
        <w:t>additional extra care capacity may reduce the reliance on long term residential care provision and lead to more appropriate placements (ASCOF indicator 2a2 and more relevant for additional extra care unit)</w:t>
      </w:r>
    </w:p>
    <w:p w14:paraId="7C278439" w14:textId="2A46136B" w:rsidR="00362ECF" w:rsidRPr="00B9638F" w:rsidRDefault="00362ECF" w:rsidP="00362ECF">
      <w:pPr>
        <w:pStyle w:val="ListParagraph"/>
        <w:numPr>
          <w:ilvl w:val="0"/>
          <w:numId w:val="15"/>
        </w:numPr>
      </w:pPr>
      <w:r w:rsidRPr="00B9638F">
        <w:t>in time the Council will also be able to see if there are improvements in the proportion of people who are reporting back that they have control over their daily life (ASCOF indicator 1b and more relevant for additional extra care unit</w:t>
      </w:r>
      <w:r w:rsidR="007C5021" w:rsidRPr="00B9638F">
        <w:t xml:space="preserve"> because it offers an alternative to </w:t>
      </w:r>
      <w:r w:rsidR="009B68AA" w:rsidRPr="00B9638F">
        <w:t>residential care</w:t>
      </w:r>
      <w:r w:rsidRPr="00B9638F">
        <w:t>)</w:t>
      </w:r>
    </w:p>
    <w:p w14:paraId="1308856E" w14:textId="5D63B122" w:rsidR="00362ECF" w:rsidRPr="00B9638F" w:rsidRDefault="00362ECF" w:rsidP="00362ECF">
      <w:pPr>
        <w:pStyle w:val="ListParagraph"/>
        <w:numPr>
          <w:ilvl w:val="0"/>
          <w:numId w:val="15"/>
        </w:numPr>
      </w:pPr>
      <w:r w:rsidRPr="00B9638F">
        <w:t xml:space="preserve">improvements </w:t>
      </w:r>
      <w:r w:rsidR="001D3638" w:rsidRPr="00B9638F">
        <w:t>in</w:t>
      </w:r>
      <w:r w:rsidRPr="00B9638F">
        <w:t xml:space="preserve"> the level of satisfaction with their care and support (ASCOF indicator 3a)</w:t>
      </w:r>
    </w:p>
    <w:p w14:paraId="48F39737" w14:textId="6439AE6E" w:rsidR="00362ECF" w:rsidRPr="00B9638F" w:rsidRDefault="00362ECF" w:rsidP="00362ECF">
      <w:pPr>
        <w:pStyle w:val="ListParagraph"/>
        <w:numPr>
          <w:ilvl w:val="0"/>
          <w:numId w:val="15"/>
        </w:numPr>
      </w:pPr>
      <w:r w:rsidRPr="00B9638F">
        <w:t xml:space="preserve">a reduction in the </w:t>
      </w:r>
      <w:r w:rsidR="001D3638" w:rsidRPr="00B9638F">
        <w:t>percentage (</w:t>
      </w:r>
      <w:r w:rsidRPr="00B9638F">
        <w:t>%</w:t>
      </w:r>
      <w:r w:rsidR="001D3638" w:rsidRPr="00B9638F">
        <w:t>)</w:t>
      </w:r>
      <w:r w:rsidRPr="00B9638F">
        <w:t xml:space="preserve"> of current residential and nursing </w:t>
      </w:r>
      <w:r w:rsidR="001D3638" w:rsidRPr="00B9638F">
        <w:t xml:space="preserve">care </w:t>
      </w:r>
      <w:r w:rsidRPr="00B9638F">
        <w:t>packages with CQC rating ‘required improvement’ or ‘inadequate' (local measure)</w:t>
      </w:r>
    </w:p>
    <w:p w14:paraId="43FCF30B" w14:textId="548F4735" w:rsidR="00362ECF" w:rsidRPr="00B9638F" w:rsidRDefault="00362ECF" w:rsidP="00362ECF">
      <w:pPr>
        <w:pStyle w:val="ListParagraph"/>
        <w:numPr>
          <w:ilvl w:val="0"/>
          <w:numId w:val="15"/>
        </w:numPr>
      </w:pPr>
      <w:r w:rsidRPr="00B9638F">
        <w:t>in time the Council will also be able to see if there are improvements in the proportion of people who are reporting back that they have control over their daily life (ASCOF indicator 1b and more relevant for additional extra care unit</w:t>
      </w:r>
      <w:r w:rsidR="009B68AA" w:rsidRPr="00B9638F">
        <w:t xml:space="preserve"> as they have choice </w:t>
      </w:r>
      <w:r w:rsidR="009D3842" w:rsidRPr="00B9638F">
        <w:t>as an alternative to</w:t>
      </w:r>
      <w:r w:rsidR="009B68AA" w:rsidRPr="00B9638F">
        <w:t xml:space="preserve"> </w:t>
      </w:r>
      <w:r w:rsidR="009D3842" w:rsidRPr="00B9638F">
        <w:t>residential care</w:t>
      </w:r>
      <w:r w:rsidRPr="00B9638F">
        <w:t>)</w:t>
      </w:r>
    </w:p>
    <w:p w14:paraId="6E8BFAD2" w14:textId="77777777" w:rsidR="00617DE7" w:rsidRPr="00B9638F" w:rsidRDefault="00617DE7" w:rsidP="0042193E">
      <w:pPr>
        <w:tabs>
          <w:tab w:val="left" w:pos="7245"/>
        </w:tabs>
        <w:ind w:left="567" w:hanging="567"/>
        <w:rPr>
          <w:i/>
        </w:rPr>
      </w:pPr>
    </w:p>
    <w:p w14:paraId="482D5093" w14:textId="415C50B1" w:rsidR="00333FAA" w:rsidRPr="00B9638F" w:rsidRDefault="00333FAA" w:rsidP="0042193E">
      <w:pPr>
        <w:pStyle w:val="Heading4"/>
        <w:ind w:left="567"/>
        <w:rPr>
          <w:szCs w:val="24"/>
        </w:rPr>
      </w:pPr>
      <w:r w:rsidRPr="00B9638F">
        <w:rPr>
          <w:szCs w:val="24"/>
        </w:rPr>
        <w:t>Environmental Implications</w:t>
      </w:r>
    </w:p>
    <w:p w14:paraId="0D906EF2" w14:textId="77777777" w:rsidR="0042193E" w:rsidRPr="00B9638F" w:rsidRDefault="0042193E" w:rsidP="0042193E"/>
    <w:p w14:paraId="15094D70" w14:textId="77777777" w:rsidR="001B7841" w:rsidRPr="00B9638F" w:rsidRDefault="001B7841" w:rsidP="0032474F">
      <w:pPr>
        <w:pStyle w:val="ListParagraph"/>
        <w:numPr>
          <w:ilvl w:val="0"/>
          <w:numId w:val="6"/>
        </w:numPr>
        <w:ind w:left="567" w:hanging="567"/>
      </w:pPr>
      <w:r w:rsidRPr="00B9638F">
        <w:t>Under Policy 5.2 of the current London Plan, all development is expected to achieve at least a 35% reduction in carbon emission through on-site measures.  Any remaining residential carbon emissions are to be offset by way of monetary contribution to ensure that the residential element of the development is zero carbon.</w:t>
      </w:r>
    </w:p>
    <w:p w14:paraId="20EC7098" w14:textId="77777777" w:rsidR="001B7841" w:rsidRPr="00B9638F" w:rsidRDefault="001B7841" w:rsidP="0042193E">
      <w:pPr>
        <w:pStyle w:val="ListParagraph"/>
        <w:ind w:left="567" w:hanging="567"/>
      </w:pPr>
    </w:p>
    <w:p w14:paraId="29A845D2" w14:textId="43189F2F" w:rsidR="001B7841" w:rsidRPr="00B9638F" w:rsidRDefault="001B7841" w:rsidP="0032474F">
      <w:pPr>
        <w:pStyle w:val="ListParagraph"/>
        <w:numPr>
          <w:ilvl w:val="0"/>
          <w:numId w:val="6"/>
        </w:numPr>
        <w:ind w:left="567" w:hanging="567"/>
      </w:pPr>
      <w:r w:rsidRPr="00B9638F">
        <w:t>The Harrow View East</w:t>
      </w:r>
      <w:r w:rsidR="00716243" w:rsidRPr="00B9638F">
        <w:t xml:space="preserve"> scheme will </w:t>
      </w:r>
      <w:r w:rsidRPr="00B9638F">
        <w:t>achieve at least a 35% reduction through on-site measures.  The energy strategies for the scheme implement the three-step energy hierarchy outlined in the London Plan, namely to:</w:t>
      </w:r>
    </w:p>
    <w:p w14:paraId="378B5185" w14:textId="77777777" w:rsidR="001B7841" w:rsidRPr="00B9638F" w:rsidRDefault="001B7841" w:rsidP="0042193E">
      <w:pPr>
        <w:ind w:left="567" w:hanging="567"/>
      </w:pPr>
    </w:p>
    <w:p w14:paraId="76C3390C" w14:textId="78FCE8D1" w:rsidR="001B7841" w:rsidRPr="00B9638F" w:rsidRDefault="001B7841" w:rsidP="0032474F">
      <w:pPr>
        <w:pStyle w:val="ListParagraph"/>
        <w:numPr>
          <w:ilvl w:val="1"/>
          <w:numId w:val="7"/>
        </w:numPr>
        <w:ind w:left="1134" w:hanging="567"/>
      </w:pPr>
      <w:r w:rsidRPr="00B9638F">
        <w:t>‘Be Lean’ by reducing energy demand – achieved by way of enhanced building fabric performance for walls, floors, roofs, windows and air permeability;</w:t>
      </w:r>
    </w:p>
    <w:p w14:paraId="197C8EE4" w14:textId="77777777" w:rsidR="0042193E" w:rsidRPr="00B9638F" w:rsidRDefault="0042193E" w:rsidP="0042193E">
      <w:pPr>
        <w:pStyle w:val="ListParagraph"/>
        <w:ind w:left="1134"/>
      </w:pPr>
    </w:p>
    <w:p w14:paraId="3A708A7B" w14:textId="77777777" w:rsidR="001B7841" w:rsidRPr="00B9638F" w:rsidRDefault="001B7841" w:rsidP="0032474F">
      <w:pPr>
        <w:pStyle w:val="ListParagraph"/>
        <w:numPr>
          <w:ilvl w:val="1"/>
          <w:numId w:val="7"/>
        </w:numPr>
        <w:ind w:left="1134" w:hanging="567"/>
      </w:pPr>
      <w:r w:rsidRPr="00B9638F">
        <w:t>‘Be Clean’ by supplying energy efficiently – achieved by connection to a heat network currently under construction and/or by use of a Combined Heat and Power (CHP) engine, which produces both heat and electricity locally;</w:t>
      </w:r>
    </w:p>
    <w:p w14:paraId="0A7D53BF" w14:textId="77777777" w:rsidR="001B7841" w:rsidRPr="00B9638F" w:rsidRDefault="001B7841" w:rsidP="0032474F">
      <w:pPr>
        <w:pStyle w:val="ListParagraph"/>
        <w:numPr>
          <w:ilvl w:val="1"/>
          <w:numId w:val="7"/>
        </w:numPr>
        <w:ind w:left="1134" w:hanging="567"/>
      </w:pPr>
      <w:r w:rsidRPr="00B9638F">
        <w:t>‘Be Green’ by using zero carbon technologies (i.e. renewable energy) – achieved by measures such as solar PV panels.</w:t>
      </w:r>
    </w:p>
    <w:p w14:paraId="05028FAC" w14:textId="77777777" w:rsidR="001B7841" w:rsidRPr="00B9638F" w:rsidRDefault="001B7841" w:rsidP="0042193E">
      <w:pPr>
        <w:pStyle w:val="ListParagraph"/>
        <w:ind w:left="567" w:hanging="567"/>
      </w:pPr>
    </w:p>
    <w:p w14:paraId="4E4E5F53" w14:textId="77777777" w:rsidR="001B7841" w:rsidRPr="00B9638F" w:rsidRDefault="001B7841" w:rsidP="0032474F">
      <w:pPr>
        <w:pStyle w:val="ListParagraph"/>
        <w:numPr>
          <w:ilvl w:val="0"/>
          <w:numId w:val="6"/>
        </w:numPr>
        <w:ind w:left="567" w:hanging="567"/>
      </w:pPr>
      <w:r w:rsidRPr="00B9638F">
        <w:t>Further active measures are proposed including lower energy light fittings, enhanced lighting controls, high efficiency boilers and control systems and a number of broader sustainability measures, including water efficiency.</w:t>
      </w:r>
    </w:p>
    <w:p w14:paraId="2FABC294" w14:textId="77777777" w:rsidR="001B7841" w:rsidRPr="00B9638F" w:rsidRDefault="001B7841" w:rsidP="0042193E">
      <w:pPr>
        <w:pStyle w:val="ListParagraph"/>
        <w:ind w:left="567" w:hanging="567"/>
      </w:pPr>
    </w:p>
    <w:p w14:paraId="6B546FEB" w14:textId="1FFF1965" w:rsidR="001B7841" w:rsidRPr="00B9638F" w:rsidRDefault="00D83807" w:rsidP="0032474F">
      <w:pPr>
        <w:pStyle w:val="ListParagraph"/>
        <w:numPr>
          <w:ilvl w:val="0"/>
          <w:numId w:val="6"/>
        </w:numPr>
        <w:ind w:left="567" w:hanging="567"/>
      </w:pPr>
      <w:r w:rsidRPr="00B9638F">
        <w:t xml:space="preserve">The </w:t>
      </w:r>
      <w:r w:rsidR="001B7841" w:rsidRPr="00B9638F">
        <w:t>scheme also provide</w:t>
      </w:r>
      <w:r w:rsidRPr="00B9638F">
        <w:t>s</w:t>
      </w:r>
      <w:r w:rsidR="001B7841" w:rsidRPr="00B9638F">
        <w:t xml:space="preserve"> a payment to offset any carbon reduction that is not achieved on-site.</w:t>
      </w:r>
    </w:p>
    <w:p w14:paraId="35319A13" w14:textId="77777777" w:rsidR="00D83807" w:rsidRPr="00B9638F" w:rsidRDefault="00D83807" w:rsidP="0042193E">
      <w:pPr>
        <w:pStyle w:val="ListParagraph"/>
        <w:ind w:left="567" w:hanging="567"/>
      </w:pPr>
    </w:p>
    <w:p w14:paraId="187E0279" w14:textId="0A720D64" w:rsidR="00D83807" w:rsidRPr="00B9638F" w:rsidRDefault="0082314E" w:rsidP="0032474F">
      <w:pPr>
        <w:pStyle w:val="ListParagraph"/>
        <w:numPr>
          <w:ilvl w:val="0"/>
          <w:numId w:val="6"/>
        </w:numPr>
        <w:ind w:left="567" w:hanging="567"/>
      </w:pPr>
      <w:r w:rsidRPr="00B9638F">
        <w:t xml:space="preserve">The </w:t>
      </w:r>
      <w:r w:rsidR="00452DEB" w:rsidRPr="00B9638F">
        <w:t xml:space="preserve">move towards more block contracts from spot placements will </w:t>
      </w:r>
      <w:r w:rsidR="00975A17" w:rsidRPr="00B9638F">
        <w:t xml:space="preserve">facilitate </w:t>
      </w:r>
      <w:r w:rsidR="00BE31E8" w:rsidRPr="00B9638F">
        <w:t>a reduction in travel time for family visits</w:t>
      </w:r>
      <w:r w:rsidR="00C32735" w:rsidRPr="00B9638F">
        <w:t xml:space="preserve"> as placements are more likely to be in borough and will allow a greater collaboration working with commissioning and</w:t>
      </w:r>
      <w:r w:rsidR="00321E34" w:rsidRPr="00B9638F">
        <w:t xml:space="preserve"> the provider on </w:t>
      </w:r>
      <w:r w:rsidR="003F2131" w:rsidRPr="00B9638F">
        <w:t>provider</w:t>
      </w:r>
      <w:r w:rsidR="00BE1E27" w:rsidRPr="00B9638F">
        <w:t xml:space="preserve">s actions and </w:t>
      </w:r>
      <w:r w:rsidR="0013489D" w:rsidRPr="00B9638F">
        <w:t>envi</w:t>
      </w:r>
      <w:r w:rsidR="008C3271" w:rsidRPr="00B9638F">
        <w:t xml:space="preserve">ronmental </w:t>
      </w:r>
      <w:r w:rsidR="00BE1E27" w:rsidRPr="00B9638F">
        <w:t>a</w:t>
      </w:r>
      <w:r w:rsidR="00B5323E" w:rsidRPr="00B9638F">
        <w:t>mbition</w:t>
      </w:r>
      <w:r w:rsidR="008C3271" w:rsidRPr="00B9638F">
        <w:t>s.</w:t>
      </w:r>
    </w:p>
    <w:p w14:paraId="2C59217D" w14:textId="77777777" w:rsidR="00DA0569" w:rsidRPr="00B9638F" w:rsidRDefault="00DA0569" w:rsidP="00DA0569">
      <w:pPr>
        <w:pStyle w:val="ListParagraph"/>
      </w:pPr>
    </w:p>
    <w:p w14:paraId="3D37F995" w14:textId="74415BF7" w:rsidR="00DA0569" w:rsidRPr="00B9638F" w:rsidRDefault="00DA0569" w:rsidP="00DA0569">
      <w:pPr>
        <w:pStyle w:val="ListParagraph"/>
        <w:numPr>
          <w:ilvl w:val="0"/>
          <w:numId w:val="6"/>
        </w:numPr>
        <w:ind w:left="567" w:hanging="567"/>
      </w:pPr>
      <w:r w:rsidRPr="00B9638F">
        <w:t xml:space="preserve">In conducting the procurement process, prospective providers will be evaluated on their ability to deliver greenhouse gas emissions reductions during the delivery of the contract in accordance with the Council’s Low Carbon Procurement Policy which was adopted in March 2022.  </w:t>
      </w:r>
    </w:p>
    <w:p w14:paraId="725E999E" w14:textId="37AC5689" w:rsidR="000929A6" w:rsidRPr="00B9638F" w:rsidRDefault="000929A6" w:rsidP="0042193E">
      <w:pPr>
        <w:pStyle w:val="paragraph"/>
        <w:spacing w:before="0" w:beforeAutospacing="0" w:after="0" w:afterAutospacing="0"/>
        <w:ind w:left="567" w:hanging="567"/>
        <w:textAlignment w:val="baseline"/>
        <w:rPr>
          <w:iCs/>
        </w:rPr>
      </w:pPr>
    </w:p>
    <w:p w14:paraId="31409836" w14:textId="77777777" w:rsidR="002A3FEF" w:rsidRPr="00B9638F" w:rsidRDefault="002A3FEF" w:rsidP="0042193E">
      <w:pPr>
        <w:pStyle w:val="Heading4"/>
        <w:ind w:left="567"/>
        <w:rPr>
          <w:szCs w:val="24"/>
        </w:rPr>
      </w:pPr>
      <w:r w:rsidRPr="00B9638F">
        <w:rPr>
          <w:szCs w:val="24"/>
        </w:rPr>
        <w:t>Dat</w:t>
      </w:r>
      <w:r w:rsidR="00DE72CF" w:rsidRPr="00B9638F">
        <w:rPr>
          <w:szCs w:val="24"/>
        </w:rPr>
        <w:t>a</w:t>
      </w:r>
      <w:r w:rsidRPr="00B9638F">
        <w:rPr>
          <w:szCs w:val="24"/>
        </w:rPr>
        <w:t xml:space="preserve"> Protection Implications</w:t>
      </w:r>
    </w:p>
    <w:p w14:paraId="35A0FBA7" w14:textId="77777777" w:rsidR="00824033" w:rsidRPr="00B9638F" w:rsidRDefault="00824033" w:rsidP="0042193E">
      <w:pPr>
        <w:pStyle w:val="paragraph"/>
        <w:spacing w:before="0" w:beforeAutospacing="0" w:after="0" w:afterAutospacing="0"/>
        <w:ind w:left="567" w:hanging="567"/>
        <w:textAlignment w:val="baseline"/>
        <w:rPr>
          <w:rFonts w:ascii="Arial" w:hAnsi="Arial" w:cs="Arial"/>
        </w:rPr>
      </w:pPr>
    </w:p>
    <w:p w14:paraId="7B2A0EC6" w14:textId="4CF7B82F" w:rsidR="00007C8F" w:rsidRPr="00B9638F" w:rsidRDefault="00007C8F" w:rsidP="0032474F">
      <w:pPr>
        <w:pStyle w:val="Heading3"/>
        <w:numPr>
          <w:ilvl w:val="0"/>
          <w:numId w:val="6"/>
        </w:numPr>
        <w:ind w:left="567" w:hanging="567"/>
        <w:rPr>
          <w:b w:val="0"/>
          <w:bCs w:val="0"/>
          <w:sz w:val="24"/>
          <w:szCs w:val="24"/>
        </w:rPr>
      </w:pPr>
      <w:r w:rsidRPr="00B9638F">
        <w:rPr>
          <w:b w:val="0"/>
          <w:bCs w:val="0"/>
          <w:sz w:val="24"/>
          <w:szCs w:val="24"/>
        </w:rPr>
        <w:t>There are no data protection implications with these proposal</w:t>
      </w:r>
      <w:r w:rsidR="0068044B" w:rsidRPr="00B9638F">
        <w:rPr>
          <w:b w:val="0"/>
          <w:bCs w:val="0"/>
          <w:sz w:val="24"/>
          <w:szCs w:val="24"/>
        </w:rPr>
        <w:t>s</w:t>
      </w:r>
      <w:r w:rsidR="0004603B" w:rsidRPr="00B9638F">
        <w:rPr>
          <w:b w:val="0"/>
          <w:bCs w:val="0"/>
          <w:sz w:val="24"/>
          <w:szCs w:val="24"/>
        </w:rPr>
        <w:t>.</w:t>
      </w:r>
    </w:p>
    <w:p w14:paraId="5661B0D9" w14:textId="77777777" w:rsidR="00613F21" w:rsidRPr="00B9638F" w:rsidRDefault="00613F21" w:rsidP="00613F21"/>
    <w:p w14:paraId="75284416" w14:textId="7CCA637F" w:rsidR="00A81E19" w:rsidRPr="00B9638F" w:rsidRDefault="00A81E19" w:rsidP="00613F21">
      <w:pPr>
        <w:pStyle w:val="Heading3"/>
        <w:ind w:left="567" w:firstLine="0"/>
      </w:pPr>
      <w:r w:rsidRPr="00B9638F">
        <w:t>Risk Management Implications</w:t>
      </w:r>
    </w:p>
    <w:p w14:paraId="7B580A33" w14:textId="77777777" w:rsidR="00613F21" w:rsidRPr="00B9638F" w:rsidRDefault="00613F21" w:rsidP="00613F21"/>
    <w:p w14:paraId="3BE87788" w14:textId="058DE1C2" w:rsidR="008440E7" w:rsidRPr="00B9638F" w:rsidRDefault="008440E7" w:rsidP="00D33D1E">
      <w:pPr>
        <w:pStyle w:val="ListParagraph"/>
        <w:tabs>
          <w:tab w:val="left" w:pos="5610"/>
        </w:tabs>
        <w:ind w:left="567" w:right="81"/>
      </w:pPr>
      <w:bookmarkStart w:id="0" w:name="_Hlk60923477"/>
      <w:bookmarkStart w:id="1" w:name="_Hlk60922991"/>
      <w:bookmarkStart w:id="2" w:name="_Hlk60923939"/>
      <w:r w:rsidRPr="00B9638F">
        <w:rPr>
          <w:rFonts w:cs="Arial"/>
          <w:szCs w:val="24"/>
          <w:lang w:val="en-US"/>
        </w:rPr>
        <w:t xml:space="preserve">Risks included on corporate or directorate risk register? </w:t>
      </w:r>
      <w:r w:rsidR="00635C9C" w:rsidRPr="00B9638F">
        <w:rPr>
          <w:rFonts w:cs="Arial"/>
          <w:szCs w:val="24"/>
          <w:lang w:val="en-US"/>
        </w:rPr>
        <w:t>No</w:t>
      </w:r>
    </w:p>
    <w:p w14:paraId="603E5FB1" w14:textId="77777777" w:rsidR="008440E7" w:rsidRPr="00B9638F" w:rsidRDefault="008440E7" w:rsidP="0042193E">
      <w:pPr>
        <w:ind w:left="567" w:right="141" w:hanging="567"/>
        <w:rPr>
          <w:rFonts w:cs="Arial"/>
          <w:szCs w:val="24"/>
          <w:lang w:val="en-US" w:eastAsia="en-GB"/>
        </w:rPr>
      </w:pPr>
    </w:p>
    <w:p w14:paraId="53E9E77C" w14:textId="17AB9EA3" w:rsidR="008440E7" w:rsidRPr="00B9638F" w:rsidRDefault="008440E7" w:rsidP="0032474F">
      <w:pPr>
        <w:pStyle w:val="ListParagraph"/>
        <w:numPr>
          <w:ilvl w:val="0"/>
          <w:numId w:val="6"/>
        </w:numPr>
        <w:ind w:left="567" w:right="141" w:hanging="567"/>
        <w:rPr>
          <w:rFonts w:cs="Arial"/>
          <w:lang w:val="en-US" w:eastAsia="en-GB"/>
        </w:rPr>
      </w:pPr>
      <w:r w:rsidRPr="00B9638F">
        <w:rPr>
          <w:rFonts w:cs="Arial"/>
          <w:lang w:val="en-US" w:eastAsia="en-GB"/>
        </w:rPr>
        <w:t xml:space="preserve">Separate risk register in place? No, there will be a risk register for each </w:t>
      </w:r>
      <w:r w:rsidR="00635C9C" w:rsidRPr="00B9638F">
        <w:rPr>
          <w:rFonts w:cs="Arial"/>
          <w:lang w:val="en-US" w:eastAsia="en-GB"/>
        </w:rPr>
        <w:t xml:space="preserve">block </w:t>
      </w:r>
      <w:r w:rsidR="004202F6" w:rsidRPr="00B9638F">
        <w:rPr>
          <w:rFonts w:cs="Arial"/>
          <w:lang w:val="en-US" w:eastAsia="en-GB"/>
        </w:rPr>
        <w:t>contract proposal and business case</w:t>
      </w:r>
      <w:r w:rsidRPr="00B9638F">
        <w:rPr>
          <w:rFonts w:cs="Arial"/>
          <w:lang w:val="en-US" w:eastAsia="en-GB"/>
        </w:rPr>
        <w:t>.</w:t>
      </w:r>
      <w:r w:rsidR="004202F6" w:rsidRPr="00B9638F">
        <w:rPr>
          <w:rFonts w:cs="Arial"/>
          <w:lang w:val="en-US" w:eastAsia="en-GB"/>
        </w:rPr>
        <w:t xml:space="preserve"> </w:t>
      </w:r>
    </w:p>
    <w:p w14:paraId="5928F710" w14:textId="77777777" w:rsidR="008440E7" w:rsidRPr="00B9638F" w:rsidRDefault="008440E7" w:rsidP="002972CB"/>
    <w:p w14:paraId="139B067E" w14:textId="77777777" w:rsidR="008440E7" w:rsidRPr="00B9638F" w:rsidRDefault="008440E7" w:rsidP="0032474F">
      <w:pPr>
        <w:pStyle w:val="ListParagraph"/>
        <w:numPr>
          <w:ilvl w:val="0"/>
          <w:numId w:val="6"/>
        </w:numPr>
        <w:ind w:left="567" w:hanging="567"/>
      </w:pPr>
      <w:r w:rsidRPr="00B9638F">
        <w:t>The following key risks should be taken into account when agreeing the recommendations in this report:</w:t>
      </w:r>
    </w:p>
    <w:p w14:paraId="3D54D5E8" w14:textId="77777777" w:rsidR="008440E7" w:rsidRPr="00B9638F" w:rsidRDefault="008440E7" w:rsidP="008440E7">
      <w:pPr>
        <w:ind w:left="567" w:right="141" w:hanging="567"/>
        <w:rPr>
          <w:rFonts w:cs="Arial"/>
          <w:szCs w:val="24"/>
          <w:lang w:val="en-US" w:eastAsia="en-GB"/>
        </w:rPr>
      </w:pPr>
    </w:p>
    <w:tbl>
      <w:tblPr>
        <w:tblW w:w="7931" w:type="dxa"/>
        <w:tblInd w:w="704"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563"/>
        <w:gridCol w:w="3298"/>
        <w:gridCol w:w="2070"/>
      </w:tblGrid>
      <w:tr w:rsidR="00B9638F" w:rsidRPr="00B9638F" w14:paraId="478DB092" w14:textId="77777777" w:rsidTr="00706DDD">
        <w:trPr>
          <w:tblHeader/>
        </w:trPr>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A9EFFB7" w14:textId="77777777" w:rsidR="008440E7" w:rsidRPr="00B9638F" w:rsidRDefault="008440E7" w:rsidP="00706DDD">
            <w:pPr>
              <w:spacing w:line="247" w:lineRule="auto"/>
              <w:ind w:right="141"/>
              <w:jc w:val="center"/>
              <w:rPr>
                <w:rFonts w:cs="Arial"/>
                <w:b/>
                <w:bCs/>
                <w:szCs w:val="24"/>
                <w:lang w:val="en-US" w:eastAsia="en-GB"/>
              </w:rPr>
            </w:pPr>
            <w:r w:rsidRPr="00B9638F">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0C518E6" w14:textId="77777777" w:rsidR="008440E7" w:rsidRPr="00B9638F" w:rsidRDefault="008440E7" w:rsidP="00706DDD">
            <w:pPr>
              <w:spacing w:line="247" w:lineRule="auto"/>
              <w:ind w:right="141"/>
              <w:jc w:val="center"/>
              <w:rPr>
                <w:rFonts w:cs="Arial"/>
                <w:b/>
                <w:bCs/>
                <w:szCs w:val="24"/>
                <w:lang w:val="en-US" w:eastAsia="en-GB"/>
              </w:rPr>
            </w:pPr>
            <w:r w:rsidRPr="00B9638F">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590E7D" w14:textId="77777777" w:rsidR="008440E7" w:rsidRPr="00B9638F" w:rsidRDefault="008440E7" w:rsidP="00706DDD">
            <w:pPr>
              <w:spacing w:line="247" w:lineRule="auto"/>
              <w:ind w:left="84" w:right="141"/>
              <w:jc w:val="center"/>
              <w:rPr>
                <w:rFonts w:cs="Arial"/>
                <w:b/>
                <w:bCs/>
                <w:szCs w:val="24"/>
                <w:lang w:val="en-US" w:eastAsia="en-GB"/>
              </w:rPr>
            </w:pPr>
            <w:r w:rsidRPr="00B9638F">
              <w:rPr>
                <w:rFonts w:cs="Arial"/>
                <w:b/>
                <w:bCs/>
                <w:szCs w:val="24"/>
                <w:lang w:val="en-US" w:eastAsia="en-GB"/>
              </w:rPr>
              <w:t>RAG Status</w:t>
            </w:r>
          </w:p>
        </w:tc>
      </w:tr>
      <w:tr w:rsidR="00B9638F" w:rsidRPr="00B9638F" w14:paraId="524BE6FD" w14:textId="77777777" w:rsidTr="00F62190">
        <w:tc>
          <w:tcPr>
            <w:tcW w:w="79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1171E9" w14:textId="56635AC0" w:rsidR="005C4D39" w:rsidRPr="00B9638F" w:rsidRDefault="00F41465" w:rsidP="00706DDD">
            <w:pPr>
              <w:spacing w:line="247" w:lineRule="auto"/>
              <w:jc w:val="center"/>
              <w:rPr>
                <w:b/>
                <w:bCs/>
                <w:i/>
                <w:iCs/>
                <w:szCs w:val="24"/>
                <w:lang w:val="en-US" w:eastAsia="en-GB"/>
              </w:rPr>
            </w:pPr>
            <w:r w:rsidRPr="00B9638F">
              <w:rPr>
                <w:b/>
                <w:bCs/>
                <w:i/>
                <w:iCs/>
                <w:szCs w:val="24"/>
                <w:lang w:val="en-US" w:eastAsia="en-GB"/>
              </w:rPr>
              <w:t>Block provision from spot contracts</w:t>
            </w:r>
          </w:p>
        </w:tc>
      </w:tr>
      <w:tr w:rsidR="00B9638F" w:rsidRPr="00B9638F" w14:paraId="28511D1D" w14:textId="77777777" w:rsidTr="005A5C28">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6793AE" w14:textId="77777777" w:rsidR="00B04074" w:rsidRPr="00B9638F" w:rsidRDefault="00B04074" w:rsidP="005A5C28">
            <w:pPr>
              <w:rPr>
                <w:rFonts w:cs="Arial"/>
                <w:szCs w:val="24"/>
              </w:rPr>
            </w:pPr>
            <w:r w:rsidRPr="00B9638F">
              <w:rPr>
                <w:rFonts w:cs="Arial"/>
                <w:szCs w:val="24"/>
              </w:rPr>
              <w:t>The recommendation to move from spot to block provision is not accepted leading to bed shortages as providers accept placements at a higher rate from health, other local authorities or private funders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99509A" w14:textId="77777777" w:rsidR="00B04074" w:rsidRPr="00B9638F" w:rsidRDefault="00B04074" w:rsidP="005A5C28">
            <w:pPr>
              <w:rPr>
                <w:rFonts w:cs="Arial"/>
                <w:szCs w:val="24"/>
              </w:rPr>
            </w:pPr>
            <w:r w:rsidRPr="00B9638F">
              <w:rPr>
                <w:rFonts w:cs="Arial"/>
                <w:szCs w:val="24"/>
              </w:rPr>
              <w:t>The acceptance of the recommendation in this report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9B60E59" w14:textId="77777777" w:rsidR="00B04074" w:rsidRPr="00B9638F" w:rsidRDefault="00B04074" w:rsidP="005A5C28">
            <w:pPr>
              <w:spacing w:line="247" w:lineRule="auto"/>
              <w:jc w:val="center"/>
              <w:rPr>
                <w:szCs w:val="24"/>
                <w:lang w:val="en-US" w:eastAsia="en-GB"/>
              </w:rPr>
            </w:pPr>
            <w:r w:rsidRPr="00B9638F">
              <w:rPr>
                <w:szCs w:val="24"/>
                <w:lang w:val="en-US" w:eastAsia="en-GB"/>
              </w:rPr>
              <w:t>Amber</w:t>
            </w:r>
          </w:p>
        </w:tc>
      </w:tr>
      <w:tr w:rsidR="00B9638F" w:rsidRPr="00B9638F" w14:paraId="40607D82" w14:textId="77777777" w:rsidTr="007E5FB8">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40C118" w14:textId="67CFAC0B" w:rsidR="00CF0D6A" w:rsidRPr="00B9638F" w:rsidRDefault="000C1AD5" w:rsidP="00856932">
            <w:pPr>
              <w:rPr>
                <w:rFonts w:cs="Arial"/>
                <w:szCs w:val="24"/>
              </w:rPr>
            </w:pPr>
            <w:r w:rsidRPr="00B9638F">
              <w:rPr>
                <w:rFonts w:cs="Arial"/>
                <w:szCs w:val="24"/>
              </w:rPr>
              <w:t xml:space="preserve">Extended periods of voids </w:t>
            </w:r>
            <w:r w:rsidR="00CF0D6A" w:rsidRPr="00B9638F">
              <w:rPr>
                <w:rFonts w:cs="Arial"/>
                <w:szCs w:val="24"/>
              </w:rPr>
              <w:t xml:space="preserve">resulting in </w:t>
            </w:r>
            <w:r w:rsidR="00635C9C" w:rsidRPr="00B9638F">
              <w:rPr>
                <w:rFonts w:cs="Arial"/>
                <w:szCs w:val="24"/>
              </w:rPr>
              <w:t xml:space="preserve">financial inefficiencies. </w:t>
            </w:r>
          </w:p>
          <w:p w14:paraId="0D7156C7" w14:textId="77777777" w:rsidR="00CF0D6A" w:rsidRPr="00B9638F" w:rsidRDefault="00CF0D6A" w:rsidP="00856932">
            <w:pPr>
              <w:rPr>
                <w:rFonts w:cs="Arial"/>
                <w:szCs w:val="24"/>
              </w:rPr>
            </w:pPr>
          </w:p>
          <w:p w14:paraId="7456CB26" w14:textId="77777777" w:rsidR="00856932" w:rsidRPr="00B9638F" w:rsidRDefault="00856932" w:rsidP="00856932">
            <w:pPr>
              <w:rPr>
                <w:rFonts w:cs="Arial"/>
                <w:szCs w:val="24"/>
              </w:rPr>
            </w:pPr>
          </w:p>
          <w:p w14:paraId="4D54ABD5" w14:textId="4E564ED6" w:rsidR="00856932" w:rsidRPr="00B9638F" w:rsidRDefault="00856932" w:rsidP="00856932">
            <w:pPr>
              <w:rPr>
                <w:szCs w:val="24"/>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50F6F3" w14:textId="5E79E9EE" w:rsidR="00856932" w:rsidRPr="00B9638F" w:rsidRDefault="00856932" w:rsidP="00856932">
            <w:pPr>
              <w:rPr>
                <w:rFonts w:cs="Arial"/>
                <w:szCs w:val="24"/>
              </w:rPr>
            </w:pPr>
            <w:r w:rsidRPr="00B9638F">
              <w:rPr>
                <w:rFonts w:cs="Arial"/>
                <w:szCs w:val="24"/>
              </w:rPr>
              <w:t xml:space="preserve">i) </w:t>
            </w:r>
            <w:r w:rsidR="005577A1" w:rsidRPr="00B9638F">
              <w:rPr>
                <w:rFonts w:cs="Arial"/>
                <w:szCs w:val="24"/>
              </w:rPr>
              <w:t>the</w:t>
            </w:r>
            <w:r w:rsidR="00603890" w:rsidRPr="00B9638F">
              <w:rPr>
                <w:rFonts w:cs="Arial"/>
                <w:szCs w:val="24"/>
              </w:rPr>
              <w:t xml:space="preserve"> move</w:t>
            </w:r>
            <w:r w:rsidRPr="00B9638F">
              <w:rPr>
                <w:rFonts w:cs="Arial"/>
                <w:szCs w:val="24"/>
              </w:rPr>
              <w:t xml:space="preserve"> from spot to block provision would ensure that each block </w:t>
            </w:r>
            <w:r w:rsidR="00603890" w:rsidRPr="00B9638F">
              <w:rPr>
                <w:rFonts w:cs="Arial"/>
                <w:szCs w:val="24"/>
              </w:rPr>
              <w:t>would</w:t>
            </w:r>
            <w:r w:rsidRPr="00B9638F">
              <w:rPr>
                <w:rFonts w:cs="Arial"/>
                <w:szCs w:val="24"/>
              </w:rPr>
              <w:t xml:space="preserve"> be full on day 1 of the contract and only future vacant beds would need to be filled. ii) There are sufficient new care placement</w:t>
            </w:r>
            <w:r w:rsidR="0004603B" w:rsidRPr="00B9638F">
              <w:rPr>
                <w:rFonts w:cs="Arial"/>
                <w:szCs w:val="24"/>
              </w:rPr>
              <w:t>s</w:t>
            </w:r>
            <w:r w:rsidRPr="00B9638F">
              <w:rPr>
                <w:rFonts w:cs="Arial"/>
                <w:szCs w:val="24"/>
              </w:rPr>
              <w:t xml:space="preserve"> to ensure that any void periods will be filled quickly – there were 130 new older people bedded care placements during 2021/22, which </w:t>
            </w:r>
            <w:r w:rsidRPr="00B9638F">
              <w:rPr>
                <w:rFonts w:cs="Arial"/>
                <w:szCs w:val="24"/>
              </w:rPr>
              <w:lastRenderedPageBreak/>
              <w:t xml:space="preserve">equates to 2.5 placements per week. There were 75 new bedded care dementia placements during 2021/22, which equates to just under 1.5 placements per week. iii) the increase of block provision will take time as part of on-going market management. iv) the Brokerage Team will dedicate officer time to monitor each block and work with care management to fill beds. A register will be kept to facilitate this and new referrals sent to block providers to fill any void beds as quickly as possible.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11EA9AE" w14:textId="46960F8F" w:rsidR="00856932" w:rsidRPr="00B9638F" w:rsidRDefault="007E5FB8" w:rsidP="00856932">
            <w:pPr>
              <w:spacing w:line="247" w:lineRule="auto"/>
              <w:jc w:val="center"/>
              <w:rPr>
                <w:szCs w:val="24"/>
                <w:lang w:val="en-US" w:eastAsia="en-GB"/>
              </w:rPr>
            </w:pPr>
            <w:r w:rsidRPr="00B9638F">
              <w:rPr>
                <w:szCs w:val="24"/>
                <w:lang w:val="en-US" w:eastAsia="en-GB"/>
              </w:rPr>
              <w:lastRenderedPageBreak/>
              <w:t>Amber</w:t>
            </w:r>
          </w:p>
        </w:tc>
      </w:tr>
      <w:tr w:rsidR="00B9638F" w:rsidRPr="00B9638F" w14:paraId="014452E7" w14:textId="77777777" w:rsidTr="003206C6">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866182" w14:textId="64688FF1" w:rsidR="0015794C" w:rsidRPr="00B9638F" w:rsidRDefault="00895881" w:rsidP="00856932">
            <w:pPr>
              <w:rPr>
                <w:rFonts w:cs="Arial"/>
                <w:szCs w:val="24"/>
              </w:rPr>
            </w:pPr>
            <w:r w:rsidRPr="00B9638F">
              <w:rPr>
                <w:rFonts w:cs="Arial"/>
                <w:szCs w:val="24"/>
              </w:rPr>
              <w:t>T</w:t>
            </w:r>
            <w:r w:rsidR="00856932" w:rsidRPr="00B9638F">
              <w:rPr>
                <w:rFonts w:cs="Arial"/>
                <w:szCs w:val="24"/>
              </w:rPr>
              <w:t>he provider chose</w:t>
            </w:r>
            <w:r w:rsidRPr="00B9638F">
              <w:rPr>
                <w:rFonts w:cs="Arial"/>
                <w:szCs w:val="24"/>
              </w:rPr>
              <w:t>s</w:t>
            </w:r>
            <w:r w:rsidR="00856932" w:rsidRPr="00B9638F">
              <w:rPr>
                <w:rFonts w:cs="Arial"/>
                <w:szCs w:val="24"/>
              </w:rPr>
              <w:t xml:space="preserve"> referral packages with the lowest needs</w:t>
            </w:r>
            <w:r w:rsidR="0015794C" w:rsidRPr="00B9638F">
              <w:rPr>
                <w:rFonts w:cs="Arial"/>
                <w:szCs w:val="24"/>
              </w:rPr>
              <w:t>.</w:t>
            </w:r>
          </w:p>
          <w:p w14:paraId="72585836" w14:textId="77777777" w:rsidR="0015794C" w:rsidRPr="00B9638F" w:rsidRDefault="0015794C" w:rsidP="00856932">
            <w:pPr>
              <w:rPr>
                <w:rFonts w:cs="Arial"/>
                <w:szCs w:val="24"/>
              </w:rPr>
            </w:pPr>
          </w:p>
          <w:p w14:paraId="77CEC887" w14:textId="77777777" w:rsidR="00856932" w:rsidRPr="00B9638F" w:rsidRDefault="00856932" w:rsidP="0015794C">
            <w:pPr>
              <w:rPr>
                <w:szCs w:val="24"/>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EFE425" w14:textId="4D38EAEB" w:rsidR="00856932" w:rsidRPr="00B9638F" w:rsidRDefault="0015794C" w:rsidP="00856932">
            <w:pPr>
              <w:rPr>
                <w:rFonts w:cs="Arial"/>
                <w:szCs w:val="24"/>
              </w:rPr>
            </w:pPr>
            <w:r w:rsidRPr="00B9638F">
              <w:rPr>
                <w:rFonts w:cs="Arial"/>
                <w:szCs w:val="24"/>
              </w:rPr>
              <w:t xml:space="preserve">Regular provider meetings will be used to challenge this position, if this is the case with examples and data from the Brokerage Team. The contract will outline the council’s </w:t>
            </w:r>
            <w:r w:rsidR="007F3994" w:rsidRPr="00B9638F">
              <w:rPr>
                <w:rFonts w:cs="Arial"/>
                <w:szCs w:val="24"/>
              </w:rPr>
              <w:t>requirement</w:t>
            </w:r>
            <w:r w:rsidRPr="00B9638F">
              <w:rPr>
                <w:rFonts w:cs="Arial"/>
                <w:szCs w:val="24"/>
              </w:rPr>
              <w:t>s on referral expectations.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58103815" w14:textId="40B9BB8F" w:rsidR="00856932" w:rsidRPr="00B9638F" w:rsidRDefault="00856932" w:rsidP="00856932">
            <w:pPr>
              <w:spacing w:line="247" w:lineRule="auto"/>
              <w:jc w:val="center"/>
              <w:rPr>
                <w:szCs w:val="24"/>
                <w:lang w:val="en-US" w:eastAsia="en-GB"/>
              </w:rPr>
            </w:pPr>
            <w:r w:rsidRPr="00B9638F">
              <w:rPr>
                <w:rFonts w:cs="Arial"/>
                <w:szCs w:val="24"/>
                <w:lang w:val="en-US" w:eastAsia="en-GB"/>
              </w:rPr>
              <w:t>Green</w:t>
            </w:r>
          </w:p>
        </w:tc>
      </w:tr>
      <w:tr w:rsidR="00B9638F" w:rsidRPr="00B9638F" w14:paraId="163E5C95" w14:textId="77777777" w:rsidTr="0081311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B6EA4F" w14:textId="17D26224" w:rsidR="00856932" w:rsidRPr="00B9638F" w:rsidRDefault="00856932" w:rsidP="00856932">
            <w:pPr>
              <w:rPr>
                <w:rFonts w:cs="Arial"/>
                <w:szCs w:val="24"/>
              </w:rPr>
            </w:pPr>
            <w:r w:rsidRPr="00B9638F">
              <w:rPr>
                <w:rFonts w:cs="Arial"/>
                <w:szCs w:val="24"/>
              </w:rPr>
              <w:t xml:space="preserve">A change in CQC ratings will mean that if a provider moves from ‘good’ to ‘requires improvement’ will alter, more greatly, the proportion of placements amongst providers that are not ‘good’ or ‘outstanding’.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479C07" w14:textId="1B991529" w:rsidR="00856932" w:rsidRPr="00B9638F" w:rsidRDefault="007F3994" w:rsidP="00856932">
            <w:pPr>
              <w:rPr>
                <w:szCs w:val="24"/>
                <w:lang w:val="en-US"/>
              </w:rPr>
            </w:pPr>
            <w:r w:rsidRPr="00B9638F">
              <w:rPr>
                <w:rFonts w:cs="Arial"/>
                <w:szCs w:val="24"/>
              </w:rPr>
              <w:t xml:space="preserve">The </w:t>
            </w:r>
            <w:r w:rsidR="0015794C" w:rsidRPr="00B9638F">
              <w:rPr>
                <w:rFonts w:cs="Arial"/>
                <w:szCs w:val="24"/>
              </w:rPr>
              <w:t>Quality Assurance team will continue to work with providers in developing a detailed action plan with timescales so that they are able to improve its ratings as soon as possible.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4A3960AB" w14:textId="6C4A71CD" w:rsidR="00856932" w:rsidRPr="00B9638F" w:rsidRDefault="0081311C" w:rsidP="00856932">
            <w:pPr>
              <w:spacing w:line="247" w:lineRule="auto"/>
              <w:jc w:val="center"/>
              <w:rPr>
                <w:szCs w:val="24"/>
                <w:lang w:val="en-US" w:eastAsia="en-GB"/>
              </w:rPr>
            </w:pPr>
            <w:r w:rsidRPr="00B9638F">
              <w:rPr>
                <w:szCs w:val="24"/>
                <w:lang w:val="en-US" w:eastAsia="en-GB"/>
              </w:rPr>
              <w:t>Amber</w:t>
            </w:r>
          </w:p>
        </w:tc>
      </w:tr>
      <w:tr w:rsidR="00B9638F" w:rsidRPr="00B9638F" w14:paraId="4EA86D84" w14:textId="77777777" w:rsidTr="001A0550">
        <w:tc>
          <w:tcPr>
            <w:tcW w:w="79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14E1B3" w14:textId="77777777" w:rsidR="00856932" w:rsidRPr="00B9638F" w:rsidRDefault="00856932" w:rsidP="00856932">
            <w:pPr>
              <w:spacing w:line="247" w:lineRule="auto"/>
              <w:jc w:val="center"/>
              <w:rPr>
                <w:rFonts w:cs="Arial"/>
                <w:b/>
                <w:bCs/>
                <w:i/>
                <w:iCs/>
                <w:szCs w:val="24"/>
              </w:rPr>
            </w:pPr>
            <w:r w:rsidRPr="00B9638F">
              <w:rPr>
                <w:rFonts w:cs="Arial"/>
                <w:b/>
                <w:bCs/>
                <w:i/>
                <w:iCs/>
                <w:szCs w:val="24"/>
              </w:rPr>
              <w:t xml:space="preserve">Commissioning of a Care and Wellbeing Service </w:t>
            </w:r>
          </w:p>
          <w:p w14:paraId="305BD934" w14:textId="44F2EE8A" w:rsidR="00856932" w:rsidRPr="00B9638F" w:rsidRDefault="00856932" w:rsidP="00856932">
            <w:pPr>
              <w:spacing w:line="247" w:lineRule="auto"/>
              <w:jc w:val="center"/>
              <w:rPr>
                <w:rFonts w:cs="Arial"/>
                <w:szCs w:val="24"/>
                <w:lang w:val="en-US" w:eastAsia="en-GB"/>
              </w:rPr>
            </w:pPr>
            <w:r w:rsidRPr="00B9638F">
              <w:rPr>
                <w:rFonts w:cs="Arial"/>
                <w:b/>
                <w:bCs/>
                <w:i/>
                <w:iCs/>
                <w:szCs w:val="24"/>
              </w:rPr>
              <w:t>for the new extra care provision</w:t>
            </w:r>
          </w:p>
        </w:tc>
      </w:tr>
      <w:tr w:rsidR="00B9638F" w:rsidRPr="00B9638F" w14:paraId="6871ECCB" w14:textId="77777777" w:rsidTr="003206C6">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288FB1" w14:textId="3EA34D0F" w:rsidR="00856932" w:rsidRPr="00B9638F" w:rsidRDefault="00856932" w:rsidP="00856932">
            <w:pPr>
              <w:rPr>
                <w:szCs w:val="24"/>
              </w:rPr>
            </w:pPr>
            <w:r w:rsidRPr="00B9638F">
              <w:rPr>
                <w:rFonts w:cs="Arial"/>
                <w:szCs w:val="24"/>
                <w:lang w:val="en-US" w:eastAsia="en-GB"/>
              </w:rPr>
              <w:t xml:space="preserve">A lack of interest by providers to provide Extra Care, care and wellbeing services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1198E9" w14:textId="4BD10EB6" w:rsidR="00731C23" w:rsidRPr="00B9638F" w:rsidRDefault="00731C23" w:rsidP="00731C23">
            <w:pPr>
              <w:rPr>
                <w:szCs w:val="24"/>
                <w:lang w:val="en-US"/>
              </w:rPr>
            </w:pPr>
            <w:r w:rsidRPr="00B9638F">
              <w:rPr>
                <w:szCs w:val="24"/>
                <w:lang w:val="en-US"/>
              </w:rPr>
              <w:t>A recent tender for the Care and Wellbeing Service at the existing Extra Care scheme</w:t>
            </w:r>
            <w:r w:rsidR="007F3994" w:rsidRPr="00B9638F">
              <w:rPr>
                <w:szCs w:val="24"/>
                <w:lang w:val="en-US"/>
              </w:rPr>
              <w:t>, Ewart House,</w:t>
            </w:r>
            <w:r w:rsidRPr="00B9638F">
              <w:rPr>
                <w:szCs w:val="24"/>
                <w:lang w:val="en-US"/>
              </w:rPr>
              <w:t xml:space="preserve"> produced a very good response. </w:t>
            </w:r>
          </w:p>
          <w:p w14:paraId="3417BEFD" w14:textId="77777777" w:rsidR="00731C23" w:rsidRPr="00B9638F" w:rsidRDefault="00731C23" w:rsidP="00731C23">
            <w:pPr>
              <w:rPr>
                <w:szCs w:val="24"/>
                <w:lang w:val="en-US"/>
              </w:rPr>
            </w:pPr>
          </w:p>
          <w:p w14:paraId="0E06CAA7" w14:textId="5ACD8CED" w:rsidR="00731C23" w:rsidRPr="00B9638F" w:rsidRDefault="00731C23" w:rsidP="00731C23">
            <w:pPr>
              <w:rPr>
                <w:szCs w:val="24"/>
                <w:lang w:val="en-US"/>
              </w:rPr>
            </w:pPr>
            <w:r w:rsidRPr="00B9638F">
              <w:rPr>
                <w:szCs w:val="24"/>
                <w:lang w:val="en-US"/>
              </w:rPr>
              <w:t>A two</w:t>
            </w:r>
            <w:r w:rsidR="007F3994" w:rsidRPr="00B9638F">
              <w:rPr>
                <w:szCs w:val="24"/>
                <w:lang w:val="en-US"/>
              </w:rPr>
              <w:t>-</w:t>
            </w:r>
            <w:r w:rsidRPr="00B9638F">
              <w:rPr>
                <w:szCs w:val="24"/>
                <w:lang w:val="en-US"/>
              </w:rPr>
              <w:t xml:space="preserve">stage procurement process was carried out.  The first stage was the Selection Questionnaire with </w:t>
            </w:r>
            <w:r w:rsidRPr="00B9638F">
              <w:rPr>
                <w:szCs w:val="24"/>
                <w:lang w:val="en-US"/>
              </w:rPr>
              <w:lastRenderedPageBreak/>
              <w:t>11 responses received, 2 of whom did not meet the compliance requirement.  The remaining 9 were evaluated with the top 6 being invited to Tender with an award being made.</w:t>
            </w:r>
          </w:p>
          <w:p w14:paraId="35991ADF" w14:textId="77777777" w:rsidR="00731C23" w:rsidRPr="00B9638F" w:rsidRDefault="00731C23" w:rsidP="00731C23">
            <w:pPr>
              <w:rPr>
                <w:szCs w:val="24"/>
                <w:lang w:val="en-US"/>
              </w:rPr>
            </w:pPr>
          </w:p>
          <w:p w14:paraId="4DA8AB50" w14:textId="6112F22F" w:rsidR="00731C23" w:rsidRPr="00B9638F" w:rsidRDefault="00731C23" w:rsidP="00731C23">
            <w:pPr>
              <w:rPr>
                <w:szCs w:val="24"/>
                <w:lang w:val="en-US"/>
              </w:rPr>
            </w:pPr>
            <w:r w:rsidRPr="00B9638F">
              <w:rPr>
                <w:szCs w:val="24"/>
                <w:lang w:val="en-US"/>
              </w:rPr>
              <w:t>It is anticipated that this tender may generate even more interest as the number of units are 60 compared to the existing scheme</w:t>
            </w:r>
            <w:r w:rsidR="007F3994" w:rsidRPr="00B9638F">
              <w:rPr>
                <w:szCs w:val="24"/>
                <w:lang w:val="en-US"/>
              </w:rPr>
              <w:t xml:space="preserve"> (Ewart House)</w:t>
            </w:r>
            <w:r w:rsidRPr="00B9638F">
              <w:rPr>
                <w:szCs w:val="24"/>
                <w:lang w:val="en-US"/>
              </w:rPr>
              <w:t xml:space="preserve"> of 37 units requiring support.</w:t>
            </w:r>
          </w:p>
          <w:p w14:paraId="371D52B1" w14:textId="0A577FE5" w:rsidR="00856932" w:rsidRPr="00B9638F" w:rsidRDefault="00856932" w:rsidP="00731C23">
            <w:pPr>
              <w:pStyle w:val="CommentText"/>
              <w:rPr>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7AFA1E86" w14:textId="5B01D918" w:rsidR="00856932" w:rsidRPr="00B9638F" w:rsidRDefault="00856932" w:rsidP="00856932">
            <w:pPr>
              <w:spacing w:line="247" w:lineRule="auto"/>
              <w:jc w:val="center"/>
              <w:rPr>
                <w:szCs w:val="24"/>
                <w:lang w:val="en-US" w:eastAsia="en-GB"/>
              </w:rPr>
            </w:pPr>
            <w:r w:rsidRPr="00B9638F">
              <w:rPr>
                <w:rFonts w:cs="Arial"/>
                <w:szCs w:val="24"/>
                <w:lang w:val="en-US" w:eastAsia="en-GB"/>
              </w:rPr>
              <w:lastRenderedPageBreak/>
              <w:t>Green</w:t>
            </w:r>
          </w:p>
        </w:tc>
      </w:tr>
      <w:tr w:rsidR="00B9638F" w:rsidRPr="00B9638F" w14:paraId="28BFA757" w14:textId="77777777" w:rsidTr="001A297E">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5ACB5A" w14:textId="70F2478E" w:rsidR="00856932" w:rsidRPr="00B9638F" w:rsidRDefault="00856932" w:rsidP="00856932">
            <w:pPr>
              <w:rPr>
                <w:szCs w:val="24"/>
              </w:rPr>
            </w:pPr>
            <w:r w:rsidRPr="00B9638F">
              <w:rPr>
                <w:rFonts w:cs="Arial"/>
              </w:rPr>
              <w:t>Unaffordable specification for Extra Care, care and wellbeing services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96FC19" w14:textId="7FF83498" w:rsidR="000B266C" w:rsidRPr="00B9638F" w:rsidRDefault="000B266C" w:rsidP="000B266C">
            <w:r w:rsidRPr="00B9638F">
              <w:t xml:space="preserve">Extra Care provision provides a more cost-effective means of providing care provision than residential </w:t>
            </w:r>
            <w:r w:rsidR="007F3994" w:rsidRPr="00B9638F">
              <w:t xml:space="preserve">care </w:t>
            </w:r>
            <w:r w:rsidRPr="00B9638F">
              <w:t>as the costs are only related to Care and does not include accommodation as with residential</w:t>
            </w:r>
            <w:r w:rsidR="007F3994" w:rsidRPr="00B9638F">
              <w:t xml:space="preserve"> care</w:t>
            </w:r>
            <w:r w:rsidRPr="00B9638F">
              <w:t>.</w:t>
            </w:r>
          </w:p>
          <w:p w14:paraId="76380E1D" w14:textId="63E00F94" w:rsidR="00856932" w:rsidRPr="00B9638F" w:rsidRDefault="00856932" w:rsidP="000B266C">
            <w:pPr>
              <w:rPr>
                <w:rFonts w:ascii="Times New Roman" w:hAnsi="Times New Roman"/>
                <w:szCs w:val="24"/>
                <w:lang w:eastAsia="en-GB"/>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5F82673E" w14:textId="1133B947" w:rsidR="00856932" w:rsidRPr="00B9638F" w:rsidRDefault="007B5A57" w:rsidP="00856932">
            <w:pPr>
              <w:spacing w:line="247" w:lineRule="auto"/>
              <w:jc w:val="center"/>
              <w:rPr>
                <w:szCs w:val="24"/>
                <w:lang w:val="en-US" w:eastAsia="en-GB"/>
              </w:rPr>
            </w:pPr>
            <w:r w:rsidRPr="00B9638F">
              <w:rPr>
                <w:szCs w:val="24"/>
                <w:lang w:val="en-US" w:eastAsia="en-GB"/>
              </w:rPr>
              <w:t>Amber</w:t>
            </w:r>
          </w:p>
        </w:tc>
      </w:tr>
      <w:tr w:rsidR="00B9638F" w:rsidRPr="00B9638F" w14:paraId="24433452" w14:textId="77777777" w:rsidTr="008701B0">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93FAB5" w14:textId="342AD216" w:rsidR="00856932" w:rsidRPr="00B9638F" w:rsidRDefault="00856932" w:rsidP="00856932">
            <w:pPr>
              <w:rPr>
                <w:szCs w:val="24"/>
              </w:rPr>
            </w:pPr>
            <w:r w:rsidRPr="00B9638F">
              <w:t>Prolonged period of voids</w:t>
            </w:r>
            <w:r w:rsidR="00895881" w:rsidRPr="00B9638F">
              <w:t xml:space="preserve"> having a detrimental</w:t>
            </w:r>
            <w:r w:rsidRPr="00B9638F">
              <w:t xml:space="preserve"> impact on Extra Care financial modelling</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D8173A" w14:textId="77777777" w:rsidR="00856932" w:rsidRPr="00B9638F" w:rsidRDefault="00856932" w:rsidP="00856932">
            <w:pPr>
              <w:rPr>
                <w:szCs w:val="24"/>
                <w:lang w:val="en-US"/>
              </w:rPr>
            </w:pPr>
            <w:r w:rsidRPr="00B9638F">
              <w:rPr>
                <w:szCs w:val="24"/>
                <w:lang w:val="en-US"/>
              </w:rPr>
              <w:t>Through the ASC Panel, officers are identifying potential citizens and developing transition processes and planning for the citizens to take up placements.</w:t>
            </w:r>
          </w:p>
          <w:p w14:paraId="52FFD8CC" w14:textId="77777777" w:rsidR="00856932" w:rsidRPr="00B9638F" w:rsidRDefault="00856932" w:rsidP="00856932">
            <w:pPr>
              <w:rPr>
                <w:szCs w:val="24"/>
                <w:lang w:val="en-US"/>
              </w:rPr>
            </w:pPr>
          </w:p>
          <w:p w14:paraId="3C2CFAF4" w14:textId="77777777" w:rsidR="00856932" w:rsidRPr="00B9638F" w:rsidRDefault="00856932" w:rsidP="00856932">
            <w:pPr>
              <w:rPr>
                <w:szCs w:val="24"/>
                <w:lang w:val="en-US"/>
              </w:rPr>
            </w:pPr>
            <w:r w:rsidRPr="00B9638F">
              <w:rPr>
                <w:szCs w:val="24"/>
                <w:lang w:val="en-US"/>
              </w:rPr>
              <w:t>An Extra Care waiting list has been developed.</w:t>
            </w:r>
          </w:p>
          <w:p w14:paraId="24A42B40" w14:textId="77777777" w:rsidR="00856932" w:rsidRPr="00B9638F" w:rsidRDefault="00856932" w:rsidP="00856932">
            <w:pPr>
              <w:rPr>
                <w:szCs w:val="24"/>
                <w:lang w:val="en-US"/>
              </w:rPr>
            </w:pPr>
          </w:p>
          <w:p w14:paraId="491BEA1A" w14:textId="50531299" w:rsidR="00856932" w:rsidRPr="00B9638F" w:rsidRDefault="00856932" w:rsidP="00856932">
            <w:pPr>
              <w:rPr>
                <w:szCs w:val="24"/>
                <w:lang w:val="en-US"/>
              </w:rPr>
            </w:pPr>
            <w:r w:rsidRPr="00B9638F">
              <w:rPr>
                <w:szCs w:val="24"/>
                <w:lang w:val="en-US"/>
              </w:rPr>
              <w:t>Officers have liaised with the Registered Housing provider an</w:t>
            </w:r>
            <w:r w:rsidR="00813AFA" w:rsidRPr="00B9638F">
              <w:rPr>
                <w:szCs w:val="24"/>
                <w:lang w:val="en-US"/>
              </w:rPr>
              <w:t>d</w:t>
            </w:r>
            <w:r w:rsidRPr="00B9638F">
              <w:rPr>
                <w:szCs w:val="24"/>
                <w:lang w:val="en-US"/>
              </w:rPr>
              <w:t xml:space="preserve"> agreed an occupancy plan of 6 – 9 months to fill the </w:t>
            </w:r>
            <w:r w:rsidR="00813AFA" w:rsidRPr="00B9638F">
              <w:rPr>
                <w:szCs w:val="24"/>
                <w:lang w:val="en-US"/>
              </w:rPr>
              <w:t xml:space="preserve">new Extra Care </w:t>
            </w:r>
            <w:r w:rsidRPr="00B9638F">
              <w:rPr>
                <w:szCs w:val="24"/>
                <w:lang w:val="en-US"/>
              </w:rPr>
              <w:t>scheme.</w:t>
            </w:r>
          </w:p>
          <w:p w14:paraId="4EF0B598" w14:textId="77777777" w:rsidR="00856932" w:rsidRPr="00B9638F" w:rsidRDefault="00856932" w:rsidP="00856932">
            <w:pPr>
              <w:rPr>
                <w:szCs w:val="24"/>
                <w:lang w:val="en-US"/>
              </w:rPr>
            </w:pPr>
          </w:p>
          <w:p w14:paraId="0373735F" w14:textId="24093699" w:rsidR="00856932" w:rsidRPr="00B9638F" w:rsidRDefault="00856932" w:rsidP="00856932">
            <w:pPr>
              <w:rPr>
                <w:szCs w:val="24"/>
                <w:lang w:val="en-US"/>
              </w:rPr>
            </w:pPr>
            <w:r w:rsidRPr="00B9638F">
              <w:rPr>
                <w:szCs w:val="24"/>
                <w:lang w:val="en-US"/>
              </w:rPr>
              <w:t>Staff training is being planned to ensure that there is knowledge and understanding of the provision available</w:t>
            </w:r>
            <w:r w:rsidR="00813AFA" w:rsidRPr="00B9638F">
              <w:rPr>
                <w:szCs w:val="24"/>
                <w:lang w:val="en-US"/>
              </w:rPr>
              <w:t>.</w:t>
            </w:r>
          </w:p>
          <w:p w14:paraId="7F1DAD3E" w14:textId="77777777" w:rsidR="00856932" w:rsidRPr="00B9638F" w:rsidRDefault="00856932" w:rsidP="00856932">
            <w:pPr>
              <w:rPr>
                <w:szCs w:val="24"/>
                <w:lang w:val="en-US"/>
              </w:rPr>
            </w:pPr>
          </w:p>
          <w:p w14:paraId="52059C3D" w14:textId="02A8E1EF" w:rsidR="00856932" w:rsidRPr="00B9638F" w:rsidRDefault="00856932" w:rsidP="00856932">
            <w:pPr>
              <w:rPr>
                <w:szCs w:val="24"/>
                <w:lang w:val="en-US"/>
              </w:rPr>
            </w:pPr>
            <w:r w:rsidRPr="00B9638F">
              <w:rPr>
                <w:szCs w:val="24"/>
                <w:lang w:val="en-US"/>
              </w:rPr>
              <w:t xml:space="preserve">A communications strategy is being implemented to </w:t>
            </w:r>
            <w:r w:rsidRPr="00B9638F">
              <w:rPr>
                <w:szCs w:val="24"/>
                <w:lang w:val="en-US"/>
              </w:rPr>
              <w:lastRenderedPageBreak/>
              <w:t>promote the new Extra Care Scheme. This is being supported by the Registered Housing Provider through development of a leaflet and open days in the future.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3C47A9A0" w14:textId="0D8797EA" w:rsidR="00856932" w:rsidRPr="00B9638F" w:rsidRDefault="008701B0" w:rsidP="00856932">
            <w:pPr>
              <w:spacing w:line="247" w:lineRule="auto"/>
              <w:jc w:val="center"/>
              <w:rPr>
                <w:szCs w:val="24"/>
                <w:lang w:val="en-US" w:eastAsia="en-GB"/>
              </w:rPr>
            </w:pPr>
            <w:r w:rsidRPr="00B9638F">
              <w:rPr>
                <w:szCs w:val="24"/>
                <w:lang w:val="en-US" w:eastAsia="en-GB"/>
              </w:rPr>
              <w:lastRenderedPageBreak/>
              <w:t>Amber</w:t>
            </w:r>
          </w:p>
        </w:tc>
      </w:tr>
      <w:tr w:rsidR="00B9638F" w:rsidRPr="00B9638F" w14:paraId="397B7054" w14:textId="77777777" w:rsidTr="005A5C28">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2D3B86" w14:textId="77777777" w:rsidR="00A369B9" w:rsidRPr="00B9638F" w:rsidRDefault="00A369B9" w:rsidP="005A5C28">
            <w:r w:rsidRPr="00B9638F">
              <w:t xml:space="preserve">The transition from spot to block contracting arrangements breach procurement regulations and Contract Procedures.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515CEC" w14:textId="77777777" w:rsidR="00A369B9" w:rsidRPr="00B9638F" w:rsidRDefault="00A369B9" w:rsidP="005A5C28">
            <w:pPr>
              <w:rPr>
                <w:szCs w:val="24"/>
                <w:lang w:val="en-US"/>
              </w:rPr>
            </w:pPr>
            <w:r w:rsidRPr="00B9638F">
              <w:rPr>
                <w:szCs w:val="24"/>
                <w:lang w:val="en-US"/>
              </w:rPr>
              <w:t xml:space="preserve">Commissioners will work with the procurement and legal teams to ensure that the transition of existing spot provision to block contracts is compliant with the Public Contract Regulations 2015 (PCR) and any future procurement legislation that supersedes the PCR. </w:t>
            </w:r>
          </w:p>
          <w:p w14:paraId="60668A05" w14:textId="77777777" w:rsidR="00A369B9" w:rsidRPr="00B9638F" w:rsidRDefault="00A369B9" w:rsidP="005A5C28">
            <w:pPr>
              <w:rPr>
                <w:szCs w:val="24"/>
                <w:lang w:val="en-US"/>
              </w:rPr>
            </w:pPr>
          </w:p>
          <w:p w14:paraId="58C9DC2C" w14:textId="77777777" w:rsidR="00A369B9" w:rsidRPr="00B9638F" w:rsidRDefault="00A369B9" w:rsidP="005A5C28">
            <w:pPr>
              <w:rPr>
                <w:szCs w:val="24"/>
                <w:lang w:val="en-US"/>
              </w:rPr>
            </w:pPr>
            <w:r w:rsidRPr="00B9638F">
              <w:rPr>
                <w:szCs w:val="24"/>
                <w:lang w:val="en-US"/>
              </w:rPr>
              <w:t>Contract Procedure Rules will be followed including obtaining waivers where necessary.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53107593" w14:textId="3129DA41" w:rsidR="00A369B9" w:rsidRPr="00B9638F" w:rsidRDefault="00A369B9" w:rsidP="005A5C28">
            <w:pPr>
              <w:spacing w:line="247" w:lineRule="auto"/>
              <w:jc w:val="center"/>
              <w:rPr>
                <w:rFonts w:cs="Arial"/>
                <w:szCs w:val="24"/>
                <w:lang w:val="en-US" w:eastAsia="en-GB"/>
              </w:rPr>
            </w:pPr>
            <w:r w:rsidRPr="00B9638F">
              <w:rPr>
                <w:rFonts w:cs="Arial"/>
                <w:szCs w:val="24"/>
                <w:lang w:val="en-US" w:eastAsia="en-GB"/>
              </w:rPr>
              <w:t>Green</w:t>
            </w:r>
          </w:p>
        </w:tc>
      </w:tr>
      <w:bookmarkEnd w:id="0"/>
      <w:bookmarkEnd w:id="1"/>
      <w:bookmarkEnd w:id="2"/>
    </w:tbl>
    <w:p w14:paraId="044E08AC" w14:textId="77777777" w:rsidR="00F97CF8" w:rsidRPr="00B9638F" w:rsidRDefault="00F97CF8" w:rsidP="00F97CF8">
      <w:pPr>
        <w:pStyle w:val="Heading3"/>
        <w:ind w:hanging="153"/>
      </w:pPr>
    </w:p>
    <w:p w14:paraId="3EFD68F5" w14:textId="16382E1F" w:rsidR="00C76F1B" w:rsidRPr="00B9638F" w:rsidRDefault="002A3FEF" w:rsidP="00F97CF8">
      <w:pPr>
        <w:pStyle w:val="Heading3"/>
        <w:ind w:hanging="153"/>
      </w:pPr>
      <w:r w:rsidRPr="00B9638F">
        <w:t>Procurement Implications</w:t>
      </w:r>
    </w:p>
    <w:p w14:paraId="637665E3" w14:textId="19308011" w:rsidR="00C76F1B" w:rsidRPr="002972CB" w:rsidRDefault="00C76F1B" w:rsidP="002972CB">
      <w:pPr>
        <w:ind w:firstLine="567"/>
        <w:rPr>
          <w:b/>
          <w:bCs/>
        </w:rPr>
      </w:pPr>
      <w:r w:rsidRPr="002972CB">
        <w:rPr>
          <w:b/>
          <w:bCs/>
        </w:rPr>
        <w:t>Bedded Care Strategy</w:t>
      </w:r>
    </w:p>
    <w:p w14:paraId="006FCE77" w14:textId="1AA4416F" w:rsidR="005D2B4A" w:rsidRDefault="00C76F1B" w:rsidP="005D515E">
      <w:pPr>
        <w:pStyle w:val="ListParagraph"/>
        <w:numPr>
          <w:ilvl w:val="0"/>
          <w:numId w:val="6"/>
        </w:numPr>
        <w:ind w:left="567" w:hanging="567"/>
      </w:pPr>
      <w:r w:rsidRPr="000B3902">
        <w:t>The proposed procurement strategy will be to</w:t>
      </w:r>
      <w:r w:rsidR="00023B2D">
        <w:t>,</w:t>
      </w:r>
      <w:r w:rsidR="005D515E">
        <w:t xml:space="preserve"> where appropriate and where value for money is being created</w:t>
      </w:r>
      <w:r w:rsidR="00422F84">
        <w:t>, make a</w:t>
      </w:r>
      <w:r w:rsidR="005D515E">
        <w:t xml:space="preserve"> transition from </w:t>
      </w:r>
      <w:r w:rsidR="005D2B4A">
        <w:t xml:space="preserve">a </w:t>
      </w:r>
      <w:r w:rsidR="005D515E">
        <w:t xml:space="preserve">spot contracting model with care providers to </w:t>
      </w:r>
      <w:r w:rsidR="005D2B4A">
        <w:t xml:space="preserve">a </w:t>
      </w:r>
      <w:r w:rsidR="005D515E">
        <w:t xml:space="preserve">block contracting model.  </w:t>
      </w:r>
    </w:p>
    <w:p w14:paraId="1142C375" w14:textId="77777777" w:rsidR="005D2B4A" w:rsidRDefault="005D2B4A" w:rsidP="005D2B4A">
      <w:pPr>
        <w:pStyle w:val="ListParagraph"/>
        <w:ind w:left="567"/>
      </w:pPr>
    </w:p>
    <w:p w14:paraId="2DE44C45" w14:textId="5C5057BD" w:rsidR="005D515E" w:rsidRDefault="005D515E" w:rsidP="005D515E">
      <w:pPr>
        <w:pStyle w:val="ListParagraph"/>
        <w:numPr>
          <w:ilvl w:val="0"/>
          <w:numId w:val="6"/>
        </w:numPr>
        <w:ind w:left="567" w:hanging="567"/>
      </w:pPr>
      <w:r>
        <w:t xml:space="preserve">This will be compliantly undertaken using provisions in the Public Contract Regulations 2015 (as amended). </w:t>
      </w:r>
      <w:r w:rsidR="003079D7">
        <w:t>Specifically,</w:t>
      </w:r>
      <w:r>
        <w:t xml:space="preserve"> the following regulations: </w:t>
      </w:r>
    </w:p>
    <w:p w14:paraId="6187F526" w14:textId="77777777" w:rsidR="00F80256" w:rsidRDefault="00F80256" w:rsidP="004262FC"/>
    <w:p w14:paraId="7AEADCD0" w14:textId="04F053C6" w:rsidR="008A4A2D" w:rsidRPr="00493790" w:rsidRDefault="008A4A2D" w:rsidP="00613F21">
      <w:pPr>
        <w:ind w:left="567"/>
        <w:rPr>
          <w:u w:val="single"/>
        </w:rPr>
      </w:pPr>
      <w:r w:rsidRPr="00493790">
        <w:rPr>
          <w:u w:val="single"/>
        </w:rPr>
        <w:t>Regulation 72 Modification of Contracts Dur</w:t>
      </w:r>
      <w:r w:rsidR="003079D7" w:rsidRPr="00493790">
        <w:rPr>
          <w:u w:val="single"/>
        </w:rPr>
        <w:t>i</w:t>
      </w:r>
      <w:r w:rsidRPr="00493790">
        <w:rPr>
          <w:u w:val="single"/>
        </w:rPr>
        <w:t xml:space="preserve">ng their Term </w:t>
      </w:r>
    </w:p>
    <w:p w14:paraId="1E4D0F1C" w14:textId="0D495966" w:rsidR="008A4A2D" w:rsidRDefault="008A4A2D" w:rsidP="00C76F1B"/>
    <w:p w14:paraId="1FFAFED3" w14:textId="7CD37F6B" w:rsidR="008A4A2D" w:rsidRDefault="008A4A2D" w:rsidP="00613F21">
      <w:pPr>
        <w:pStyle w:val="ListParagraph"/>
        <w:numPr>
          <w:ilvl w:val="0"/>
          <w:numId w:val="16"/>
        </w:numPr>
        <w:ind w:left="927"/>
      </w:pPr>
      <w:r>
        <w:t xml:space="preserve">Contracts and frameworks agreements may be modified without a new procurement procedure in accordance with this Part in any of the following </w:t>
      </w:r>
      <w:r w:rsidR="005D2B4A">
        <w:t>cases: -</w:t>
      </w:r>
    </w:p>
    <w:p w14:paraId="1EF6528A" w14:textId="595848D8" w:rsidR="008A4A2D" w:rsidRDefault="008A4A2D" w:rsidP="00613F21">
      <w:pPr>
        <w:pStyle w:val="ListParagraph"/>
        <w:ind w:left="927"/>
      </w:pPr>
    </w:p>
    <w:p w14:paraId="2AEF7B22" w14:textId="23A3F5D9" w:rsidR="006C4276" w:rsidRDefault="006C4276" w:rsidP="00613F21">
      <w:pPr>
        <w:pStyle w:val="ListParagraph"/>
        <w:ind w:left="927"/>
      </w:pPr>
      <w:r w:rsidRPr="006C4276">
        <w:t>(b)  for additional works, services or supplies by the original contractor that have become necessary and were not included in the initial procurement, where a change of contractor—</w:t>
      </w:r>
    </w:p>
    <w:p w14:paraId="45689CE8" w14:textId="77777777" w:rsidR="006C4276" w:rsidRDefault="006C4276" w:rsidP="00613F21">
      <w:pPr>
        <w:pStyle w:val="ListParagraph"/>
        <w:ind w:left="927"/>
      </w:pPr>
    </w:p>
    <w:p w14:paraId="05C7DF91" w14:textId="29F51FF4" w:rsidR="008A4A2D" w:rsidRDefault="008A4A2D" w:rsidP="00613F21">
      <w:pPr>
        <w:pStyle w:val="ListParagraph"/>
        <w:ind w:left="927"/>
      </w:pPr>
      <w:r>
        <w:t xml:space="preserve">(ii) would cause significant inconvenience or substantial duplication of costs for the contracting authority </w:t>
      </w:r>
    </w:p>
    <w:p w14:paraId="08BBF90E" w14:textId="76C92C38" w:rsidR="008A4A2D" w:rsidRDefault="008A4A2D" w:rsidP="00613F21">
      <w:pPr>
        <w:ind w:left="207"/>
      </w:pPr>
    </w:p>
    <w:p w14:paraId="1EB245E0" w14:textId="0A460576" w:rsidR="006C4276" w:rsidRDefault="006C4276" w:rsidP="00613F21">
      <w:pPr>
        <w:pStyle w:val="ListParagraph"/>
        <w:ind w:left="927"/>
      </w:pPr>
      <w:r w:rsidRPr="00EB19A3">
        <w:t>provided that any increase in price does not exceed 50% of the value of the original contract;</w:t>
      </w:r>
    </w:p>
    <w:p w14:paraId="0BB55598" w14:textId="77777777" w:rsidR="006C4276" w:rsidRDefault="006C4276" w:rsidP="008A4A2D"/>
    <w:p w14:paraId="5BBF5910" w14:textId="45F1B33F" w:rsidR="008A4A2D" w:rsidRPr="00493790" w:rsidRDefault="008A4A2D" w:rsidP="00613F21">
      <w:pPr>
        <w:keepNext/>
        <w:ind w:left="567"/>
        <w:rPr>
          <w:u w:val="single"/>
        </w:rPr>
      </w:pPr>
      <w:r w:rsidRPr="00493790">
        <w:rPr>
          <w:u w:val="single"/>
        </w:rPr>
        <w:lastRenderedPageBreak/>
        <w:t>Regulation 76 Principles of Awarding Contracts</w:t>
      </w:r>
    </w:p>
    <w:p w14:paraId="64764450" w14:textId="28279565" w:rsidR="008A4A2D" w:rsidRDefault="008A4A2D" w:rsidP="006C4276">
      <w:pPr>
        <w:keepNext/>
      </w:pPr>
    </w:p>
    <w:p w14:paraId="119AFF7D" w14:textId="6F974151" w:rsidR="008A4A2D" w:rsidRDefault="008A4A2D" w:rsidP="001672C8">
      <w:pPr>
        <w:keepNext/>
        <w:ind w:left="993" w:hanging="426"/>
      </w:pPr>
      <w:r>
        <w:t xml:space="preserve">(8)In relation to the award of contracts subject to this Section, contracting authorities may take into account any relevant considerations, </w:t>
      </w:r>
      <w:r w:rsidR="00413164">
        <w:t>including: -</w:t>
      </w:r>
    </w:p>
    <w:p w14:paraId="683D2648" w14:textId="0CF28974" w:rsidR="008A4A2D" w:rsidRDefault="008A4A2D" w:rsidP="00613F21">
      <w:pPr>
        <w:ind w:left="567" w:firstLine="153"/>
      </w:pPr>
    </w:p>
    <w:p w14:paraId="4F8FCCD4" w14:textId="76C93C24" w:rsidR="008A4A2D" w:rsidRDefault="008A4A2D" w:rsidP="00613F21">
      <w:pPr>
        <w:pStyle w:val="ListParagraph"/>
        <w:numPr>
          <w:ilvl w:val="0"/>
          <w:numId w:val="17"/>
        </w:numPr>
        <w:ind w:left="1418" w:hanging="545"/>
      </w:pPr>
      <w:r>
        <w:t>The need to ensure quality, continuity, accessibility, affordability, availability, and comprehensiveness of the services;</w:t>
      </w:r>
    </w:p>
    <w:p w14:paraId="21152F42" w14:textId="77777777" w:rsidR="008A4A2D" w:rsidRDefault="008A4A2D" w:rsidP="00613F21">
      <w:pPr>
        <w:pStyle w:val="ListParagraph"/>
        <w:ind w:left="1418" w:hanging="545"/>
      </w:pPr>
    </w:p>
    <w:p w14:paraId="24BBCA9E" w14:textId="60249732" w:rsidR="008A4A2D" w:rsidRDefault="008A4A2D" w:rsidP="00613F21">
      <w:pPr>
        <w:pStyle w:val="ListParagraph"/>
        <w:numPr>
          <w:ilvl w:val="0"/>
          <w:numId w:val="17"/>
        </w:numPr>
        <w:ind w:left="1418" w:hanging="545"/>
      </w:pPr>
      <w:r>
        <w:t>The specific needs of different categories of users, including disadvantaged and vulnerable groups;</w:t>
      </w:r>
    </w:p>
    <w:p w14:paraId="189D4DA0" w14:textId="77777777" w:rsidR="00C76F1B" w:rsidRPr="00C76F1B" w:rsidRDefault="00C76F1B" w:rsidP="00613F21">
      <w:pPr>
        <w:ind w:left="1418" w:hanging="545"/>
      </w:pPr>
    </w:p>
    <w:p w14:paraId="23BB2720" w14:textId="77777777" w:rsidR="00F97CF8" w:rsidRPr="00B9638F" w:rsidRDefault="00F97CF8" w:rsidP="00613F21">
      <w:pPr>
        <w:pStyle w:val="Heading3"/>
        <w:ind w:left="1418" w:hanging="851"/>
        <w:jc w:val="left"/>
        <w:rPr>
          <w:rFonts w:cs="Times New Roman"/>
          <w:sz w:val="24"/>
          <w:szCs w:val="20"/>
        </w:rPr>
      </w:pPr>
    </w:p>
    <w:p w14:paraId="68B4B46A" w14:textId="40AF64CF" w:rsidR="009903BD" w:rsidRPr="00B9638F" w:rsidRDefault="009903BD" w:rsidP="00613F21">
      <w:pPr>
        <w:pStyle w:val="Heading3"/>
        <w:ind w:left="1418" w:hanging="851"/>
        <w:jc w:val="left"/>
        <w:rPr>
          <w:rFonts w:cs="Times New Roman"/>
          <w:sz w:val="24"/>
          <w:szCs w:val="20"/>
        </w:rPr>
      </w:pPr>
      <w:r w:rsidRPr="00B9638F">
        <w:rPr>
          <w:rFonts w:cs="Times New Roman"/>
          <w:sz w:val="24"/>
          <w:szCs w:val="20"/>
        </w:rPr>
        <w:t>Extra Care</w:t>
      </w:r>
      <w:r w:rsidR="0089344D" w:rsidRPr="00B9638F">
        <w:rPr>
          <w:rFonts w:cs="Times New Roman"/>
          <w:sz w:val="24"/>
          <w:szCs w:val="20"/>
        </w:rPr>
        <w:t xml:space="preserve"> Procurement</w:t>
      </w:r>
    </w:p>
    <w:p w14:paraId="3A2E344A" w14:textId="1A6E4763" w:rsidR="00723FFB" w:rsidRPr="00B9638F" w:rsidRDefault="00624524" w:rsidP="00723FFB">
      <w:pPr>
        <w:pStyle w:val="Heading3"/>
        <w:numPr>
          <w:ilvl w:val="0"/>
          <w:numId w:val="6"/>
        </w:numPr>
        <w:ind w:left="567" w:hanging="567"/>
        <w:jc w:val="left"/>
        <w:rPr>
          <w:rFonts w:cs="Times New Roman"/>
          <w:b w:val="0"/>
          <w:bCs w:val="0"/>
          <w:sz w:val="24"/>
          <w:szCs w:val="20"/>
        </w:rPr>
      </w:pPr>
      <w:r w:rsidRPr="00B9638F">
        <w:rPr>
          <w:rFonts w:cs="Times New Roman"/>
          <w:b w:val="0"/>
          <w:bCs w:val="0"/>
          <w:sz w:val="24"/>
          <w:szCs w:val="20"/>
        </w:rPr>
        <w:t xml:space="preserve">There are two components to the delivery of the extra care schemes: the building and the care and wellbeing support service. These can be provided by separate providers or a single organisation with separate housing and care support services. </w:t>
      </w:r>
      <w:r w:rsidR="00723FFB" w:rsidRPr="00B9638F">
        <w:rPr>
          <w:rFonts w:cs="Times New Roman"/>
          <w:b w:val="0"/>
          <w:bCs w:val="0"/>
          <w:sz w:val="24"/>
          <w:szCs w:val="20"/>
        </w:rPr>
        <w:t>The registered housing provider for the Harrow View East Scheme appointed by the owners</w:t>
      </w:r>
      <w:r w:rsidR="00D763A2" w:rsidRPr="00B9638F">
        <w:rPr>
          <w:rFonts w:cs="Times New Roman"/>
          <w:b w:val="0"/>
          <w:bCs w:val="0"/>
          <w:sz w:val="24"/>
          <w:szCs w:val="20"/>
        </w:rPr>
        <w:t>,</w:t>
      </w:r>
      <w:r w:rsidR="00723FFB" w:rsidRPr="00B9638F">
        <w:rPr>
          <w:rFonts w:cs="Times New Roman"/>
          <w:b w:val="0"/>
          <w:bCs w:val="0"/>
          <w:sz w:val="24"/>
          <w:szCs w:val="20"/>
        </w:rPr>
        <w:t xml:space="preserve"> Harrow LLP</w:t>
      </w:r>
      <w:r w:rsidR="00D763A2" w:rsidRPr="00B9638F">
        <w:rPr>
          <w:rFonts w:cs="Times New Roman"/>
          <w:b w:val="0"/>
          <w:bCs w:val="0"/>
          <w:sz w:val="24"/>
          <w:szCs w:val="20"/>
        </w:rPr>
        <w:t>,</w:t>
      </w:r>
      <w:r w:rsidR="00723FFB" w:rsidRPr="00B9638F">
        <w:rPr>
          <w:rFonts w:cs="Times New Roman"/>
          <w:b w:val="0"/>
          <w:bCs w:val="0"/>
          <w:sz w:val="24"/>
          <w:szCs w:val="20"/>
        </w:rPr>
        <w:t xml:space="preserve"> is Octavia</w:t>
      </w:r>
      <w:r w:rsidR="003F06BA" w:rsidRPr="00B9638F">
        <w:rPr>
          <w:rFonts w:cs="Times New Roman"/>
          <w:b w:val="0"/>
          <w:bCs w:val="0"/>
          <w:sz w:val="24"/>
          <w:szCs w:val="20"/>
        </w:rPr>
        <w:t xml:space="preserve"> Housing</w:t>
      </w:r>
      <w:r w:rsidR="00723FFB" w:rsidRPr="00B9638F">
        <w:rPr>
          <w:rFonts w:cs="Times New Roman"/>
          <w:b w:val="0"/>
          <w:bCs w:val="0"/>
          <w:sz w:val="24"/>
          <w:szCs w:val="20"/>
        </w:rPr>
        <w:t xml:space="preserve">. </w:t>
      </w:r>
    </w:p>
    <w:p w14:paraId="6E891CFB" w14:textId="1998DCE4" w:rsidR="00624524" w:rsidRPr="00B9638F" w:rsidRDefault="00624524" w:rsidP="00723FFB">
      <w:pPr>
        <w:pStyle w:val="Heading3"/>
        <w:ind w:left="567" w:firstLine="0"/>
        <w:jc w:val="left"/>
        <w:rPr>
          <w:rFonts w:cs="Times New Roman"/>
          <w:b w:val="0"/>
          <w:bCs w:val="0"/>
          <w:sz w:val="24"/>
          <w:szCs w:val="20"/>
        </w:rPr>
      </w:pPr>
    </w:p>
    <w:p w14:paraId="5A830A27" w14:textId="5CDC6ECF" w:rsidR="00244D2B" w:rsidRPr="00B9638F" w:rsidRDefault="001449C1" w:rsidP="00816E2A">
      <w:pPr>
        <w:pStyle w:val="Heading3"/>
        <w:numPr>
          <w:ilvl w:val="0"/>
          <w:numId w:val="6"/>
        </w:numPr>
        <w:ind w:left="567" w:hanging="567"/>
        <w:jc w:val="left"/>
        <w:rPr>
          <w:rFonts w:cs="Times New Roman"/>
          <w:b w:val="0"/>
          <w:bCs w:val="0"/>
          <w:sz w:val="24"/>
          <w:szCs w:val="20"/>
        </w:rPr>
      </w:pPr>
      <w:r w:rsidRPr="00B9638F">
        <w:rPr>
          <w:rFonts w:cs="Times New Roman"/>
          <w:b w:val="0"/>
          <w:bCs w:val="0"/>
          <w:sz w:val="24"/>
          <w:szCs w:val="20"/>
        </w:rPr>
        <w:t xml:space="preserve">Under </w:t>
      </w:r>
      <w:r w:rsidR="00A3702A" w:rsidRPr="00B9638F">
        <w:rPr>
          <w:rFonts w:cs="Times New Roman"/>
          <w:b w:val="0"/>
          <w:bCs w:val="0"/>
          <w:sz w:val="24"/>
          <w:szCs w:val="20"/>
        </w:rPr>
        <w:t>the S106</w:t>
      </w:r>
      <w:r w:rsidR="003F06BA" w:rsidRPr="00B9638F">
        <w:rPr>
          <w:rFonts w:cs="Times New Roman"/>
          <w:b w:val="0"/>
          <w:bCs w:val="0"/>
          <w:sz w:val="24"/>
          <w:szCs w:val="20"/>
        </w:rPr>
        <w:t>,</w:t>
      </w:r>
      <w:r w:rsidR="00A3702A" w:rsidRPr="00B9638F">
        <w:rPr>
          <w:rFonts w:cs="Times New Roman"/>
          <w:b w:val="0"/>
          <w:bCs w:val="0"/>
          <w:sz w:val="24"/>
          <w:szCs w:val="20"/>
        </w:rPr>
        <w:t xml:space="preserve"> it is the responsibility of </w:t>
      </w:r>
      <w:r w:rsidRPr="00B9638F">
        <w:rPr>
          <w:rFonts w:cs="Times New Roman"/>
          <w:b w:val="0"/>
          <w:bCs w:val="0"/>
          <w:sz w:val="24"/>
          <w:szCs w:val="20"/>
        </w:rPr>
        <w:t xml:space="preserve">Harrow Council </w:t>
      </w:r>
      <w:r w:rsidR="00A3702A" w:rsidRPr="00B9638F">
        <w:rPr>
          <w:rFonts w:cs="Times New Roman"/>
          <w:b w:val="0"/>
          <w:bCs w:val="0"/>
          <w:sz w:val="24"/>
          <w:szCs w:val="20"/>
        </w:rPr>
        <w:t>to appoint a care and wellbeing provider</w:t>
      </w:r>
      <w:r w:rsidRPr="00B9638F">
        <w:rPr>
          <w:rFonts w:cs="Times New Roman"/>
          <w:b w:val="0"/>
          <w:bCs w:val="0"/>
          <w:sz w:val="24"/>
          <w:szCs w:val="20"/>
        </w:rPr>
        <w:t>.</w:t>
      </w:r>
      <w:r w:rsidR="00A3702A" w:rsidRPr="00B9638F">
        <w:rPr>
          <w:rFonts w:cs="Times New Roman"/>
          <w:b w:val="0"/>
          <w:bCs w:val="0"/>
          <w:sz w:val="24"/>
          <w:szCs w:val="20"/>
        </w:rPr>
        <w:t xml:space="preserve"> </w:t>
      </w:r>
      <w:r w:rsidRPr="00B9638F">
        <w:rPr>
          <w:rFonts w:cs="Times New Roman"/>
          <w:b w:val="0"/>
          <w:bCs w:val="0"/>
          <w:sz w:val="24"/>
          <w:szCs w:val="20"/>
        </w:rPr>
        <w:t xml:space="preserve"> To that end officers will </w:t>
      </w:r>
      <w:r w:rsidR="00A3702A" w:rsidRPr="00B9638F">
        <w:rPr>
          <w:rFonts w:cs="Times New Roman"/>
          <w:b w:val="0"/>
          <w:bCs w:val="0"/>
          <w:sz w:val="24"/>
          <w:szCs w:val="20"/>
        </w:rPr>
        <w:t xml:space="preserve">undertake a </w:t>
      </w:r>
      <w:r w:rsidRPr="00B9638F">
        <w:rPr>
          <w:rFonts w:cs="Times New Roman"/>
          <w:b w:val="0"/>
          <w:bCs w:val="0"/>
          <w:sz w:val="24"/>
          <w:szCs w:val="20"/>
        </w:rPr>
        <w:t xml:space="preserve">compliant </w:t>
      </w:r>
      <w:r w:rsidR="00A3702A" w:rsidRPr="00B9638F">
        <w:rPr>
          <w:rFonts w:cs="Times New Roman"/>
          <w:b w:val="0"/>
          <w:bCs w:val="0"/>
          <w:sz w:val="24"/>
          <w:szCs w:val="20"/>
        </w:rPr>
        <w:t xml:space="preserve">procurement exercise to appoint a </w:t>
      </w:r>
      <w:r w:rsidRPr="00B9638F">
        <w:rPr>
          <w:rFonts w:cs="Times New Roman"/>
          <w:b w:val="0"/>
          <w:bCs w:val="0"/>
          <w:sz w:val="24"/>
          <w:szCs w:val="20"/>
        </w:rPr>
        <w:t xml:space="preserve">care </w:t>
      </w:r>
      <w:r w:rsidR="00A3702A" w:rsidRPr="00B9638F">
        <w:rPr>
          <w:rFonts w:cs="Times New Roman"/>
          <w:b w:val="0"/>
          <w:bCs w:val="0"/>
          <w:sz w:val="24"/>
          <w:szCs w:val="20"/>
        </w:rPr>
        <w:t>provider</w:t>
      </w:r>
      <w:r w:rsidRPr="00B9638F">
        <w:rPr>
          <w:rFonts w:cs="Times New Roman"/>
          <w:b w:val="0"/>
          <w:bCs w:val="0"/>
          <w:sz w:val="24"/>
          <w:szCs w:val="20"/>
        </w:rPr>
        <w:t xml:space="preserve"> for the Extra Care facility at Harrow View East.</w:t>
      </w:r>
      <w:r w:rsidR="00A3702A" w:rsidRPr="00B9638F">
        <w:rPr>
          <w:rFonts w:cs="Times New Roman"/>
          <w:b w:val="0"/>
          <w:bCs w:val="0"/>
          <w:sz w:val="24"/>
          <w:szCs w:val="20"/>
        </w:rPr>
        <w:t xml:space="preserve"> </w:t>
      </w:r>
      <w:r w:rsidRPr="00B9638F">
        <w:rPr>
          <w:rFonts w:cs="Times New Roman"/>
          <w:b w:val="0"/>
          <w:bCs w:val="0"/>
          <w:sz w:val="24"/>
          <w:szCs w:val="20"/>
        </w:rPr>
        <w:t xml:space="preserve">This will </w:t>
      </w:r>
      <w:r w:rsidR="00A3702A" w:rsidRPr="00B9638F">
        <w:rPr>
          <w:rFonts w:cs="Times New Roman"/>
          <w:b w:val="0"/>
          <w:bCs w:val="0"/>
          <w:sz w:val="24"/>
          <w:szCs w:val="20"/>
        </w:rPr>
        <w:t>includ</w:t>
      </w:r>
      <w:r w:rsidRPr="00B9638F">
        <w:rPr>
          <w:rFonts w:cs="Times New Roman"/>
          <w:b w:val="0"/>
          <w:bCs w:val="0"/>
          <w:sz w:val="24"/>
          <w:szCs w:val="20"/>
        </w:rPr>
        <w:t>e</w:t>
      </w:r>
      <w:r w:rsidR="00A3702A" w:rsidRPr="00B9638F">
        <w:rPr>
          <w:rFonts w:cs="Times New Roman"/>
          <w:b w:val="0"/>
          <w:bCs w:val="0"/>
          <w:sz w:val="24"/>
          <w:szCs w:val="20"/>
        </w:rPr>
        <w:t xml:space="preserve"> </w:t>
      </w:r>
      <w:r w:rsidRPr="00B9638F">
        <w:rPr>
          <w:rFonts w:cs="Times New Roman"/>
          <w:b w:val="0"/>
          <w:bCs w:val="0"/>
          <w:sz w:val="24"/>
          <w:szCs w:val="20"/>
        </w:rPr>
        <w:t xml:space="preserve">the </w:t>
      </w:r>
      <w:r w:rsidR="00A3702A" w:rsidRPr="00B9638F">
        <w:rPr>
          <w:rFonts w:cs="Times New Roman"/>
          <w:b w:val="0"/>
          <w:bCs w:val="0"/>
          <w:sz w:val="24"/>
          <w:szCs w:val="20"/>
        </w:rPr>
        <w:t>London Living Wage (LLW)</w:t>
      </w:r>
      <w:r w:rsidRPr="00B9638F">
        <w:rPr>
          <w:rFonts w:cs="Times New Roman"/>
          <w:b w:val="0"/>
          <w:bCs w:val="0"/>
          <w:sz w:val="24"/>
          <w:szCs w:val="20"/>
        </w:rPr>
        <w:t xml:space="preserve"> being paid on this contract</w:t>
      </w:r>
      <w:r w:rsidR="00A3702A" w:rsidRPr="00B9638F">
        <w:rPr>
          <w:rFonts w:cs="Times New Roman"/>
          <w:b w:val="0"/>
          <w:bCs w:val="0"/>
          <w:sz w:val="24"/>
          <w:szCs w:val="20"/>
        </w:rPr>
        <w:t xml:space="preserve">, </w:t>
      </w:r>
      <w:r w:rsidR="00F55EB9" w:rsidRPr="00B9638F">
        <w:rPr>
          <w:rFonts w:cs="Times New Roman"/>
          <w:b w:val="0"/>
          <w:bCs w:val="0"/>
          <w:sz w:val="24"/>
          <w:szCs w:val="20"/>
        </w:rPr>
        <w:t>any</w:t>
      </w:r>
      <w:r w:rsidR="00A3702A" w:rsidRPr="00B9638F">
        <w:rPr>
          <w:rFonts w:cs="Times New Roman"/>
          <w:b w:val="0"/>
          <w:bCs w:val="0"/>
          <w:sz w:val="24"/>
          <w:szCs w:val="20"/>
        </w:rPr>
        <w:t xml:space="preserve"> changes will be referred back to the </w:t>
      </w:r>
      <w:r w:rsidR="0035085C" w:rsidRPr="00B9638F">
        <w:rPr>
          <w:rFonts w:cs="Times New Roman"/>
          <w:b w:val="0"/>
          <w:bCs w:val="0"/>
          <w:sz w:val="24"/>
          <w:szCs w:val="20"/>
        </w:rPr>
        <w:t xml:space="preserve">Corporate Director </w:t>
      </w:r>
      <w:r w:rsidR="00A5694A" w:rsidRPr="00B9638F">
        <w:rPr>
          <w:rFonts w:cs="Times New Roman"/>
          <w:b w:val="0"/>
          <w:bCs w:val="0"/>
          <w:sz w:val="24"/>
          <w:szCs w:val="20"/>
        </w:rPr>
        <w:t xml:space="preserve">as per </w:t>
      </w:r>
      <w:r w:rsidR="0031642B" w:rsidRPr="00B9638F">
        <w:rPr>
          <w:rFonts w:cs="Times New Roman"/>
          <w:b w:val="0"/>
          <w:bCs w:val="0"/>
          <w:sz w:val="24"/>
          <w:szCs w:val="20"/>
        </w:rPr>
        <w:t xml:space="preserve">the </w:t>
      </w:r>
      <w:r w:rsidR="00A5694A" w:rsidRPr="00B9638F">
        <w:rPr>
          <w:rFonts w:cs="Times New Roman"/>
          <w:b w:val="0"/>
          <w:bCs w:val="0"/>
          <w:sz w:val="24"/>
          <w:szCs w:val="20"/>
        </w:rPr>
        <w:t>delegation</w:t>
      </w:r>
      <w:r w:rsidR="00847EE7" w:rsidRPr="00B9638F">
        <w:rPr>
          <w:rFonts w:cs="Times New Roman"/>
          <w:b w:val="0"/>
          <w:bCs w:val="0"/>
          <w:sz w:val="24"/>
          <w:szCs w:val="20"/>
        </w:rPr>
        <w:t>s.</w:t>
      </w:r>
      <w:r w:rsidR="0031642B" w:rsidRPr="00B9638F">
        <w:rPr>
          <w:rFonts w:cs="Times New Roman"/>
          <w:sz w:val="24"/>
          <w:szCs w:val="20"/>
        </w:rPr>
        <w:t xml:space="preserve"> </w:t>
      </w:r>
    </w:p>
    <w:p w14:paraId="0F93D305" w14:textId="77777777" w:rsidR="00847EE7" w:rsidRPr="00B9638F" w:rsidRDefault="00847EE7" w:rsidP="00847EE7"/>
    <w:p w14:paraId="63DCA251" w14:textId="77777777" w:rsidR="00624524" w:rsidRPr="00B9638F" w:rsidRDefault="00624524" w:rsidP="0032474F">
      <w:pPr>
        <w:pStyle w:val="Heading3"/>
        <w:numPr>
          <w:ilvl w:val="0"/>
          <w:numId w:val="6"/>
        </w:numPr>
        <w:ind w:left="567" w:hanging="567"/>
        <w:jc w:val="left"/>
        <w:rPr>
          <w:rFonts w:cs="Times New Roman"/>
          <w:b w:val="0"/>
          <w:bCs w:val="0"/>
          <w:sz w:val="24"/>
          <w:szCs w:val="20"/>
        </w:rPr>
      </w:pPr>
      <w:r w:rsidRPr="00B9638F">
        <w:rPr>
          <w:rFonts w:cs="Times New Roman"/>
          <w:b w:val="0"/>
          <w:bCs w:val="0"/>
          <w:sz w:val="24"/>
          <w:szCs w:val="20"/>
        </w:rPr>
        <w:t>An outline timeline for procurement is as follows:</w:t>
      </w:r>
    </w:p>
    <w:p w14:paraId="0A35612C" w14:textId="77777777" w:rsidR="000D7B3D" w:rsidRPr="00B9638F" w:rsidRDefault="000D7B3D" w:rsidP="00624524"/>
    <w:tbl>
      <w:tblPr>
        <w:tblStyle w:val="TableGrid"/>
        <w:tblW w:w="0" w:type="auto"/>
        <w:tblInd w:w="762" w:type="dxa"/>
        <w:tblLook w:val="04A0" w:firstRow="1" w:lastRow="0" w:firstColumn="1" w:lastColumn="0" w:noHBand="0" w:noVBand="1"/>
      </w:tblPr>
      <w:tblGrid>
        <w:gridCol w:w="5187"/>
        <w:gridCol w:w="2268"/>
      </w:tblGrid>
      <w:tr w:rsidR="00B9638F" w:rsidRPr="00B9638F" w14:paraId="62C5F2FA" w14:textId="77777777" w:rsidTr="008C5ECB">
        <w:tc>
          <w:tcPr>
            <w:tcW w:w="5187" w:type="dxa"/>
          </w:tcPr>
          <w:p w14:paraId="446AE745" w14:textId="53ED61A4" w:rsidR="000B3902" w:rsidRPr="00B9638F" w:rsidRDefault="007B7EE9" w:rsidP="008C5ECB">
            <w:pPr>
              <w:jc w:val="center"/>
              <w:rPr>
                <w:rFonts w:cs="Arial"/>
                <w:b/>
                <w:bCs/>
              </w:rPr>
            </w:pPr>
            <w:r w:rsidRPr="00B9638F">
              <w:rPr>
                <w:rFonts w:cs="Arial"/>
                <w:b/>
                <w:bCs/>
              </w:rPr>
              <w:t xml:space="preserve">Extra Care </w:t>
            </w:r>
            <w:r w:rsidR="000B3902" w:rsidRPr="00B9638F">
              <w:rPr>
                <w:rFonts w:cs="Arial"/>
                <w:b/>
                <w:bCs/>
              </w:rPr>
              <w:t xml:space="preserve">Procurement </w:t>
            </w:r>
            <w:r w:rsidRPr="00B9638F">
              <w:rPr>
                <w:rFonts w:cs="Arial"/>
                <w:b/>
                <w:bCs/>
              </w:rPr>
              <w:t>Key Milestones</w:t>
            </w:r>
          </w:p>
        </w:tc>
        <w:tc>
          <w:tcPr>
            <w:tcW w:w="2268" w:type="dxa"/>
          </w:tcPr>
          <w:p w14:paraId="54372652" w14:textId="77777777" w:rsidR="000B3902" w:rsidRPr="00B9638F" w:rsidRDefault="000B3902" w:rsidP="008C5ECB">
            <w:pPr>
              <w:jc w:val="center"/>
              <w:rPr>
                <w:rFonts w:cs="Arial"/>
                <w:b/>
                <w:bCs/>
              </w:rPr>
            </w:pPr>
            <w:r w:rsidRPr="00B9638F">
              <w:rPr>
                <w:rFonts w:cs="Arial"/>
                <w:b/>
                <w:bCs/>
              </w:rPr>
              <w:t>Timeline</w:t>
            </w:r>
          </w:p>
        </w:tc>
      </w:tr>
      <w:tr w:rsidR="00B9638F" w:rsidRPr="00B9638F" w14:paraId="57E15F65" w14:textId="77777777" w:rsidTr="008C5ECB">
        <w:tc>
          <w:tcPr>
            <w:tcW w:w="5187" w:type="dxa"/>
          </w:tcPr>
          <w:p w14:paraId="5F073CD5" w14:textId="5B95A256" w:rsidR="000B3902" w:rsidRPr="00B9638F" w:rsidRDefault="000B3902" w:rsidP="008C5ECB">
            <w:pPr>
              <w:rPr>
                <w:rFonts w:cs="Arial"/>
              </w:rPr>
            </w:pPr>
            <w:r w:rsidRPr="00B9638F">
              <w:rPr>
                <w:rFonts w:cs="Arial"/>
              </w:rPr>
              <w:t>Issue UK notice and Selection Questionnaire (SQ) on London Tenders Portal/Expression of Interests and Registration</w:t>
            </w:r>
          </w:p>
        </w:tc>
        <w:tc>
          <w:tcPr>
            <w:tcW w:w="2268" w:type="dxa"/>
          </w:tcPr>
          <w:p w14:paraId="33B59351" w14:textId="77777777" w:rsidR="000B3902" w:rsidRPr="00B9638F" w:rsidRDefault="000B3902" w:rsidP="008C5ECB">
            <w:pPr>
              <w:jc w:val="center"/>
              <w:rPr>
                <w:rFonts w:cs="Arial"/>
              </w:rPr>
            </w:pPr>
            <w:r w:rsidRPr="00B9638F">
              <w:rPr>
                <w:rFonts w:cs="Arial"/>
              </w:rPr>
              <w:t>22/7/22</w:t>
            </w:r>
          </w:p>
        </w:tc>
      </w:tr>
      <w:tr w:rsidR="00B9638F" w:rsidRPr="00B9638F" w14:paraId="2194F3C0" w14:textId="77777777" w:rsidTr="008C5ECB">
        <w:tc>
          <w:tcPr>
            <w:tcW w:w="5187" w:type="dxa"/>
          </w:tcPr>
          <w:p w14:paraId="7C157EC7" w14:textId="77777777" w:rsidR="000B3902" w:rsidRPr="00B9638F" w:rsidRDefault="000B3902" w:rsidP="008C5ECB">
            <w:pPr>
              <w:rPr>
                <w:rFonts w:cs="Arial"/>
              </w:rPr>
            </w:pPr>
            <w:r w:rsidRPr="00B9638F">
              <w:rPr>
                <w:rFonts w:cs="Arial"/>
              </w:rPr>
              <w:t xml:space="preserve">SQ Evaluation and Moderation </w:t>
            </w:r>
          </w:p>
        </w:tc>
        <w:tc>
          <w:tcPr>
            <w:tcW w:w="2268" w:type="dxa"/>
          </w:tcPr>
          <w:p w14:paraId="5FAD975F" w14:textId="77777777" w:rsidR="000B3902" w:rsidRPr="00B9638F" w:rsidRDefault="000B3902" w:rsidP="008C5ECB">
            <w:pPr>
              <w:jc w:val="center"/>
              <w:rPr>
                <w:rFonts w:cs="Arial"/>
              </w:rPr>
            </w:pPr>
            <w:r w:rsidRPr="00B9638F">
              <w:rPr>
                <w:rFonts w:cs="Arial"/>
              </w:rPr>
              <w:t>9/8/22 – 18/8/22</w:t>
            </w:r>
          </w:p>
        </w:tc>
      </w:tr>
      <w:tr w:rsidR="00B9638F" w:rsidRPr="00B9638F" w14:paraId="695C48D8" w14:textId="77777777" w:rsidTr="008C5ECB">
        <w:tc>
          <w:tcPr>
            <w:tcW w:w="5187" w:type="dxa"/>
          </w:tcPr>
          <w:p w14:paraId="6A57D73A" w14:textId="77777777" w:rsidR="000B3902" w:rsidRPr="00B9638F" w:rsidRDefault="000B3902" w:rsidP="008C5ECB">
            <w:pPr>
              <w:rPr>
                <w:rFonts w:cs="Arial"/>
              </w:rPr>
            </w:pPr>
            <w:r w:rsidRPr="00B9638F">
              <w:rPr>
                <w:rFonts w:cs="Arial"/>
              </w:rPr>
              <w:t>Invitation to Tender (ITT)</w:t>
            </w:r>
          </w:p>
        </w:tc>
        <w:tc>
          <w:tcPr>
            <w:tcW w:w="2268" w:type="dxa"/>
          </w:tcPr>
          <w:p w14:paraId="46E8BB0A" w14:textId="77777777" w:rsidR="000B3902" w:rsidRPr="00B9638F" w:rsidRDefault="000B3902" w:rsidP="008C5ECB">
            <w:pPr>
              <w:jc w:val="center"/>
              <w:rPr>
                <w:rFonts w:cs="Arial"/>
              </w:rPr>
            </w:pPr>
            <w:r w:rsidRPr="00B9638F">
              <w:rPr>
                <w:rFonts w:cs="Arial"/>
              </w:rPr>
              <w:t>19/8/22 – 20/9/22</w:t>
            </w:r>
          </w:p>
        </w:tc>
      </w:tr>
      <w:tr w:rsidR="00B9638F" w:rsidRPr="00B9638F" w14:paraId="75D1BEF9" w14:textId="77777777" w:rsidTr="008C5ECB">
        <w:tc>
          <w:tcPr>
            <w:tcW w:w="5187" w:type="dxa"/>
          </w:tcPr>
          <w:p w14:paraId="14637AFC" w14:textId="77777777" w:rsidR="000B3902" w:rsidRPr="00B9638F" w:rsidRDefault="000B3902" w:rsidP="008C5ECB">
            <w:pPr>
              <w:rPr>
                <w:rFonts w:cs="Arial"/>
              </w:rPr>
            </w:pPr>
            <w:r w:rsidRPr="00B9638F">
              <w:rPr>
                <w:rFonts w:cs="Arial"/>
              </w:rPr>
              <w:t>ITT Evaluation and Moderation</w:t>
            </w:r>
          </w:p>
        </w:tc>
        <w:tc>
          <w:tcPr>
            <w:tcW w:w="2268" w:type="dxa"/>
          </w:tcPr>
          <w:p w14:paraId="4771DA55" w14:textId="77777777" w:rsidR="000B3902" w:rsidRPr="00B9638F" w:rsidRDefault="000B3902" w:rsidP="008C5ECB">
            <w:pPr>
              <w:jc w:val="center"/>
              <w:rPr>
                <w:rFonts w:cs="Arial"/>
              </w:rPr>
            </w:pPr>
            <w:r w:rsidRPr="00B9638F">
              <w:rPr>
                <w:rFonts w:cs="Arial"/>
              </w:rPr>
              <w:t>22/9/22 – 6/10/22</w:t>
            </w:r>
          </w:p>
        </w:tc>
      </w:tr>
      <w:tr w:rsidR="00B9638F" w:rsidRPr="00B9638F" w14:paraId="6AFD2CD5" w14:textId="77777777" w:rsidTr="008C5ECB">
        <w:tc>
          <w:tcPr>
            <w:tcW w:w="5187" w:type="dxa"/>
          </w:tcPr>
          <w:p w14:paraId="0A985D55" w14:textId="77777777" w:rsidR="000B3902" w:rsidRPr="00B9638F" w:rsidRDefault="000B3902" w:rsidP="008C5ECB">
            <w:pPr>
              <w:rPr>
                <w:rFonts w:cs="Arial"/>
              </w:rPr>
            </w:pPr>
            <w:r w:rsidRPr="00B9638F">
              <w:rPr>
                <w:rFonts w:cs="Arial"/>
              </w:rPr>
              <w:t>Award Report</w:t>
            </w:r>
          </w:p>
        </w:tc>
        <w:tc>
          <w:tcPr>
            <w:tcW w:w="2268" w:type="dxa"/>
          </w:tcPr>
          <w:p w14:paraId="1241378F" w14:textId="77777777" w:rsidR="000B3902" w:rsidRPr="00B9638F" w:rsidRDefault="000B3902" w:rsidP="008C5ECB">
            <w:pPr>
              <w:jc w:val="center"/>
              <w:rPr>
                <w:rFonts w:cs="Arial"/>
              </w:rPr>
            </w:pPr>
            <w:r w:rsidRPr="00B9638F">
              <w:rPr>
                <w:rFonts w:cs="Arial"/>
              </w:rPr>
              <w:t>7/10/22 – 15/10/22</w:t>
            </w:r>
          </w:p>
        </w:tc>
      </w:tr>
      <w:tr w:rsidR="00B9638F" w:rsidRPr="00B9638F" w14:paraId="07766E02" w14:textId="77777777" w:rsidTr="008C5ECB">
        <w:tc>
          <w:tcPr>
            <w:tcW w:w="5187" w:type="dxa"/>
          </w:tcPr>
          <w:p w14:paraId="0DADD6F3" w14:textId="77777777" w:rsidR="000B3902" w:rsidRPr="00B9638F" w:rsidRDefault="000B3902" w:rsidP="008C5ECB">
            <w:pPr>
              <w:rPr>
                <w:rFonts w:cs="Arial"/>
              </w:rPr>
            </w:pPr>
            <w:r w:rsidRPr="00B9638F">
              <w:rPr>
                <w:rFonts w:cs="Arial"/>
              </w:rPr>
              <w:t>Notification of Intention to Award</w:t>
            </w:r>
          </w:p>
        </w:tc>
        <w:tc>
          <w:tcPr>
            <w:tcW w:w="2268" w:type="dxa"/>
          </w:tcPr>
          <w:p w14:paraId="611BED96" w14:textId="77777777" w:rsidR="000B3902" w:rsidRPr="00B9638F" w:rsidRDefault="000B3902" w:rsidP="008C5ECB">
            <w:pPr>
              <w:jc w:val="center"/>
              <w:rPr>
                <w:rFonts w:cs="Arial"/>
              </w:rPr>
            </w:pPr>
            <w:r w:rsidRPr="00B9638F">
              <w:rPr>
                <w:rFonts w:cs="Arial"/>
              </w:rPr>
              <w:t>17/10/22</w:t>
            </w:r>
          </w:p>
        </w:tc>
      </w:tr>
      <w:tr w:rsidR="000B3902" w:rsidRPr="00B9638F" w14:paraId="37A59816" w14:textId="77777777" w:rsidTr="008C5ECB">
        <w:tc>
          <w:tcPr>
            <w:tcW w:w="5187" w:type="dxa"/>
          </w:tcPr>
          <w:p w14:paraId="65670663" w14:textId="77777777" w:rsidR="000B3902" w:rsidRPr="00B9638F" w:rsidRDefault="000B3902" w:rsidP="008C5ECB">
            <w:pPr>
              <w:rPr>
                <w:rFonts w:cs="Arial"/>
              </w:rPr>
            </w:pPr>
            <w:r w:rsidRPr="00B9638F">
              <w:rPr>
                <w:rFonts w:cs="Arial"/>
              </w:rPr>
              <w:t>Award of Contract</w:t>
            </w:r>
          </w:p>
        </w:tc>
        <w:tc>
          <w:tcPr>
            <w:tcW w:w="2268" w:type="dxa"/>
          </w:tcPr>
          <w:p w14:paraId="3C6CDEA1" w14:textId="77777777" w:rsidR="000B3902" w:rsidRPr="00B9638F" w:rsidRDefault="000B3902" w:rsidP="008C5ECB">
            <w:pPr>
              <w:jc w:val="center"/>
              <w:rPr>
                <w:rFonts w:cs="Arial"/>
              </w:rPr>
            </w:pPr>
            <w:r w:rsidRPr="00B9638F">
              <w:rPr>
                <w:rFonts w:cs="Arial"/>
              </w:rPr>
              <w:t>31/10/22</w:t>
            </w:r>
          </w:p>
        </w:tc>
      </w:tr>
    </w:tbl>
    <w:p w14:paraId="6575A6DC" w14:textId="77777777" w:rsidR="00624524" w:rsidRPr="00B9638F" w:rsidRDefault="00624524" w:rsidP="00624524">
      <w:pPr>
        <w:pStyle w:val="Heading3"/>
        <w:ind w:left="0" w:firstLine="0"/>
        <w:jc w:val="left"/>
        <w:rPr>
          <w:rFonts w:cs="Times New Roman"/>
          <w:b w:val="0"/>
          <w:bCs w:val="0"/>
          <w:sz w:val="24"/>
          <w:szCs w:val="20"/>
        </w:rPr>
      </w:pPr>
    </w:p>
    <w:p w14:paraId="6D8F3BEE" w14:textId="18B58B06" w:rsidR="00624524" w:rsidRPr="00B9638F" w:rsidRDefault="004B363A" w:rsidP="0032474F">
      <w:pPr>
        <w:pStyle w:val="Heading3"/>
        <w:numPr>
          <w:ilvl w:val="0"/>
          <w:numId w:val="6"/>
        </w:numPr>
        <w:ind w:left="567" w:hanging="567"/>
        <w:jc w:val="left"/>
        <w:rPr>
          <w:b w:val="0"/>
          <w:bCs w:val="0"/>
          <w:sz w:val="24"/>
          <w:szCs w:val="24"/>
        </w:rPr>
      </w:pPr>
      <w:r w:rsidRPr="00B9638F">
        <w:rPr>
          <w:b w:val="0"/>
          <w:bCs w:val="0"/>
          <w:sz w:val="24"/>
          <w:szCs w:val="24"/>
        </w:rPr>
        <w:t>The award of a tender through a procurement exercise is expected to deliver a cost</w:t>
      </w:r>
      <w:r w:rsidR="001966BB" w:rsidRPr="00B9638F">
        <w:rPr>
          <w:b w:val="0"/>
          <w:bCs w:val="0"/>
          <w:sz w:val="24"/>
          <w:szCs w:val="24"/>
        </w:rPr>
        <w:t>-</w:t>
      </w:r>
      <w:r w:rsidRPr="00B9638F">
        <w:rPr>
          <w:b w:val="0"/>
          <w:bCs w:val="0"/>
          <w:sz w:val="24"/>
          <w:szCs w:val="24"/>
        </w:rPr>
        <w:t>effective quality care and wellbeing service.</w:t>
      </w:r>
    </w:p>
    <w:p w14:paraId="07A3112B" w14:textId="77777777" w:rsidR="00F97CF8" w:rsidRPr="00B9638F" w:rsidRDefault="00F97CF8" w:rsidP="00F97CF8"/>
    <w:p w14:paraId="44413A6E" w14:textId="77777777" w:rsidR="00333FAA" w:rsidRPr="00B9638F" w:rsidRDefault="00333FAA" w:rsidP="00F97CF8">
      <w:pPr>
        <w:pStyle w:val="Heading3"/>
        <w:ind w:hanging="153"/>
      </w:pPr>
      <w:r w:rsidRPr="00B9638F">
        <w:t>Legal Implications</w:t>
      </w:r>
    </w:p>
    <w:p w14:paraId="57ED93B6" w14:textId="77777777" w:rsidR="00F97CF8" w:rsidRPr="00B9638F" w:rsidRDefault="00F97CF8" w:rsidP="00F97CF8">
      <w:pPr>
        <w:pStyle w:val="Heading3"/>
        <w:ind w:left="567" w:firstLine="0"/>
        <w:jc w:val="left"/>
        <w:rPr>
          <w:rFonts w:cs="Times New Roman"/>
          <w:b w:val="0"/>
          <w:bCs w:val="0"/>
          <w:sz w:val="24"/>
          <w:szCs w:val="20"/>
        </w:rPr>
      </w:pPr>
    </w:p>
    <w:p w14:paraId="66A84B19" w14:textId="15D643A3" w:rsidR="00BF6C45" w:rsidRPr="00B9638F" w:rsidRDefault="00BF6C45" w:rsidP="0032474F">
      <w:pPr>
        <w:pStyle w:val="Heading3"/>
        <w:numPr>
          <w:ilvl w:val="0"/>
          <w:numId w:val="6"/>
        </w:numPr>
        <w:ind w:left="567" w:hanging="567"/>
        <w:jc w:val="left"/>
        <w:rPr>
          <w:rFonts w:cs="Times New Roman"/>
          <w:b w:val="0"/>
          <w:bCs w:val="0"/>
          <w:sz w:val="24"/>
          <w:szCs w:val="20"/>
        </w:rPr>
      </w:pPr>
      <w:r w:rsidRPr="00B9638F">
        <w:rPr>
          <w:rFonts w:cs="Times New Roman"/>
          <w:b w:val="0"/>
          <w:bCs w:val="0"/>
          <w:sz w:val="24"/>
          <w:szCs w:val="20"/>
        </w:rPr>
        <w:t xml:space="preserve">Under the Care Act 2014, local authorities are under a duty to carry out their care and support responsibilities with the aim of joining-up the services provided or other actions taken with those </w:t>
      </w:r>
      <w:r w:rsidR="00073BB3" w:rsidRPr="00B9638F">
        <w:rPr>
          <w:rFonts w:cs="Times New Roman"/>
          <w:b w:val="0"/>
          <w:bCs w:val="0"/>
          <w:sz w:val="24"/>
          <w:szCs w:val="20"/>
        </w:rPr>
        <w:t xml:space="preserve">services </w:t>
      </w:r>
      <w:r w:rsidRPr="00B9638F">
        <w:rPr>
          <w:rFonts w:cs="Times New Roman"/>
          <w:b w:val="0"/>
          <w:bCs w:val="0"/>
          <w:sz w:val="24"/>
          <w:szCs w:val="20"/>
        </w:rPr>
        <w:t xml:space="preserve">provided by the NHS and other health-related services (for example, housing or leisure services). This general requirement applies to all </w:t>
      </w:r>
      <w:r w:rsidR="003034EC" w:rsidRPr="00B9638F">
        <w:rPr>
          <w:rFonts w:cs="Times New Roman"/>
          <w:b w:val="0"/>
          <w:bCs w:val="0"/>
          <w:sz w:val="24"/>
          <w:szCs w:val="20"/>
        </w:rPr>
        <w:t xml:space="preserve">of </w:t>
      </w:r>
      <w:r w:rsidRPr="00B9638F">
        <w:rPr>
          <w:rFonts w:cs="Times New Roman"/>
          <w:b w:val="0"/>
          <w:bCs w:val="0"/>
          <w:sz w:val="24"/>
          <w:szCs w:val="20"/>
        </w:rPr>
        <w:t xml:space="preserve">the local authority’s care and support functions for adults with needs for care and </w:t>
      </w:r>
      <w:r w:rsidRPr="00B9638F">
        <w:rPr>
          <w:rFonts w:cs="Times New Roman"/>
          <w:b w:val="0"/>
          <w:bCs w:val="0"/>
          <w:sz w:val="24"/>
          <w:szCs w:val="20"/>
        </w:rPr>
        <w:lastRenderedPageBreak/>
        <w:t xml:space="preserve">support and for carers. The duty applies where the local authority considers that the integration of services will: </w:t>
      </w:r>
    </w:p>
    <w:p w14:paraId="6155E6FB" w14:textId="77777777" w:rsidR="00BF6C45" w:rsidRPr="00B9638F" w:rsidRDefault="00BF6C45" w:rsidP="005236B9">
      <w:pPr>
        <w:pStyle w:val="Heading3"/>
        <w:ind w:left="567" w:hanging="567"/>
        <w:jc w:val="left"/>
        <w:rPr>
          <w:rFonts w:cs="Times New Roman"/>
          <w:b w:val="0"/>
          <w:bCs w:val="0"/>
          <w:sz w:val="24"/>
          <w:szCs w:val="20"/>
        </w:rPr>
      </w:pPr>
    </w:p>
    <w:p w14:paraId="378B106A" w14:textId="77777777" w:rsidR="00BF6C45" w:rsidRPr="00B9638F" w:rsidRDefault="00BF6C45" w:rsidP="0032474F">
      <w:pPr>
        <w:pStyle w:val="Heading3"/>
        <w:numPr>
          <w:ilvl w:val="0"/>
          <w:numId w:val="8"/>
        </w:numPr>
        <w:ind w:left="927"/>
        <w:jc w:val="left"/>
        <w:rPr>
          <w:rFonts w:cs="Times New Roman"/>
          <w:b w:val="0"/>
          <w:bCs w:val="0"/>
          <w:sz w:val="24"/>
          <w:szCs w:val="20"/>
        </w:rPr>
      </w:pPr>
      <w:r w:rsidRPr="00B9638F">
        <w:rPr>
          <w:rFonts w:cs="Times New Roman"/>
          <w:b w:val="0"/>
          <w:bCs w:val="0"/>
          <w:sz w:val="24"/>
          <w:szCs w:val="20"/>
        </w:rPr>
        <w:t xml:space="preserve">promote the wellbeing of adults with care and support needs or of carers in its area </w:t>
      </w:r>
    </w:p>
    <w:p w14:paraId="6D017531" w14:textId="77777777" w:rsidR="00BF6C45" w:rsidRPr="00B9638F" w:rsidRDefault="00BF6C45" w:rsidP="0032474F">
      <w:pPr>
        <w:pStyle w:val="Heading3"/>
        <w:numPr>
          <w:ilvl w:val="0"/>
          <w:numId w:val="8"/>
        </w:numPr>
        <w:ind w:left="927"/>
        <w:jc w:val="left"/>
        <w:rPr>
          <w:rFonts w:cs="Times New Roman"/>
          <w:b w:val="0"/>
          <w:bCs w:val="0"/>
          <w:sz w:val="24"/>
          <w:szCs w:val="20"/>
        </w:rPr>
      </w:pPr>
      <w:r w:rsidRPr="00B9638F">
        <w:rPr>
          <w:rFonts w:cs="Times New Roman"/>
          <w:b w:val="0"/>
          <w:bCs w:val="0"/>
          <w:sz w:val="24"/>
          <w:szCs w:val="20"/>
        </w:rPr>
        <w:t>contribute to the prevention or delay of the development of needs of citizens</w:t>
      </w:r>
    </w:p>
    <w:p w14:paraId="6BF9CBF7" w14:textId="7492CCB4" w:rsidR="00BF6C45" w:rsidRPr="00B9638F" w:rsidRDefault="00BF6C45" w:rsidP="0032474F">
      <w:pPr>
        <w:pStyle w:val="Heading3"/>
        <w:numPr>
          <w:ilvl w:val="0"/>
          <w:numId w:val="8"/>
        </w:numPr>
        <w:ind w:left="927"/>
        <w:jc w:val="left"/>
        <w:rPr>
          <w:rFonts w:cs="Times New Roman"/>
          <w:b w:val="0"/>
          <w:bCs w:val="0"/>
          <w:sz w:val="24"/>
          <w:szCs w:val="20"/>
        </w:rPr>
      </w:pPr>
      <w:r w:rsidRPr="00B9638F">
        <w:rPr>
          <w:rFonts w:cs="Times New Roman"/>
          <w:b w:val="0"/>
          <w:bCs w:val="0"/>
          <w:sz w:val="24"/>
          <w:szCs w:val="20"/>
        </w:rPr>
        <w:t>improve the quality of care and support in the local authority’s area, including the outcomes that are achieved for local citizens</w:t>
      </w:r>
      <w:r w:rsidR="002D41DD" w:rsidRPr="00B9638F">
        <w:rPr>
          <w:rFonts w:cs="Times New Roman"/>
          <w:b w:val="0"/>
          <w:bCs w:val="0"/>
          <w:sz w:val="24"/>
          <w:szCs w:val="20"/>
        </w:rPr>
        <w:t>.</w:t>
      </w:r>
      <w:r w:rsidRPr="00B9638F">
        <w:rPr>
          <w:rFonts w:cs="Times New Roman"/>
          <w:b w:val="0"/>
          <w:bCs w:val="0"/>
          <w:sz w:val="24"/>
          <w:szCs w:val="20"/>
        </w:rPr>
        <w:t xml:space="preserve"> </w:t>
      </w:r>
    </w:p>
    <w:p w14:paraId="0B1B92A2" w14:textId="77777777" w:rsidR="00BF6C45" w:rsidRPr="00B9638F" w:rsidRDefault="00BF6C45" w:rsidP="005236B9">
      <w:pPr>
        <w:ind w:left="567" w:hanging="567"/>
      </w:pPr>
    </w:p>
    <w:p w14:paraId="3BD5071A" w14:textId="77777777" w:rsidR="00BF6C45" w:rsidRPr="00B9638F" w:rsidRDefault="00BF6C45" w:rsidP="00F97CF8">
      <w:pPr>
        <w:pStyle w:val="Heading3"/>
        <w:ind w:hanging="153"/>
        <w:jc w:val="left"/>
        <w:rPr>
          <w:sz w:val="24"/>
          <w:szCs w:val="24"/>
        </w:rPr>
      </w:pPr>
      <w:r w:rsidRPr="00B9638F">
        <w:rPr>
          <w:sz w:val="24"/>
          <w:szCs w:val="24"/>
        </w:rPr>
        <w:t>Public Sector Equality Duty</w:t>
      </w:r>
    </w:p>
    <w:p w14:paraId="767E3766" w14:textId="77777777" w:rsidR="00BF6C45" w:rsidRPr="00B9638F" w:rsidRDefault="00BF6C45" w:rsidP="00BF6C45">
      <w:pPr>
        <w:rPr>
          <w:szCs w:val="24"/>
        </w:rPr>
      </w:pPr>
    </w:p>
    <w:p w14:paraId="632044C8" w14:textId="77777777" w:rsidR="00BF6C45" w:rsidRPr="00B9638F" w:rsidRDefault="00BF6C45" w:rsidP="0032474F">
      <w:pPr>
        <w:pStyle w:val="Heading3"/>
        <w:numPr>
          <w:ilvl w:val="0"/>
          <w:numId w:val="6"/>
        </w:numPr>
        <w:ind w:left="567" w:hanging="567"/>
        <w:jc w:val="left"/>
        <w:rPr>
          <w:sz w:val="24"/>
          <w:szCs w:val="24"/>
        </w:rPr>
      </w:pPr>
      <w:r w:rsidRPr="00B9638F">
        <w:rPr>
          <w:b w:val="0"/>
          <w:bCs w:val="0"/>
          <w:sz w:val="24"/>
          <w:szCs w:val="24"/>
        </w:rPr>
        <w:t>The public sector equality duty is set out in s149 of the Equality Act 2010.  A public authority must, in the exercise of its functions, have due regard to the need to:</w:t>
      </w:r>
    </w:p>
    <w:p w14:paraId="67FB88E4" w14:textId="77777777" w:rsidR="00BF6C45" w:rsidRPr="00B9638F" w:rsidRDefault="00BF6C45" w:rsidP="005236B9">
      <w:pPr>
        <w:ind w:left="567" w:hanging="567"/>
      </w:pPr>
    </w:p>
    <w:p w14:paraId="37BF83AC" w14:textId="77777777" w:rsidR="00BF6C45" w:rsidRPr="00B9638F" w:rsidRDefault="00BF6C45" w:rsidP="0032474F">
      <w:pPr>
        <w:pStyle w:val="ListParagraph"/>
        <w:numPr>
          <w:ilvl w:val="0"/>
          <w:numId w:val="9"/>
        </w:numPr>
        <w:ind w:left="927"/>
        <w:rPr>
          <w:szCs w:val="24"/>
        </w:rPr>
      </w:pPr>
      <w:r w:rsidRPr="00B9638F">
        <w:rPr>
          <w:szCs w:val="24"/>
        </w:rPr>
        <w:t xml:space="preserve">Eliminate discrimination, harassment, victimisation and any other conduct that is prohibited by or under this Act; </w:t>
      </w:r>
    </w:p>
    <w:p w14:paraId="492B2617" w14:textId="77777777" w:rsidR="00BF6C45" w:rsidRPr="00B9638F" w:rsidRDefault="00BF6C45" w:rsidP="0032474F">
      <w:pPr>
        <w:pStyle w:val="ListParagraph"/>
        <w:numPr>
          <w:ilvl w:val="0"/>
          <w:numId w:val="9"/>
        </w:numPr>
        <w:ind w:left="927"/>
        <w:rPr>
          <w:szCs w:val="24"/>
        </w:rPr>
      </w:pPr>
      <w:r w:rsidRPr="00B9638F">
        <w:rPr>
          <w:szCs w:val="24"/>
        </w:rPr>
        <w:t xml:space="preserve">Advance equality of opportunity between persons who share a relevant protected characteristic and persons who do not share it; and </w:t>
      </w:r>
    </w:p>
    <w:p w14:paraId="17611A92" w14:textId="77777777" w:rsidR="00BF6C45" w:rsidRPr="00B9638F" w:rsidRDefault="00BF6C45" w:rsidP="0032474F">
      <w:pPr>
        <w:pStyle w:val="ListParagraph"/>
        <w:numPr>
          <w:ilvl w:val="0"/>
          <w:numId w:val="9"/>
        </w:numPr>
        <w:ind w:left="927"/>
        <w:rPr>
          <w:szCs w:val="24"/>
        </w:rPr>
      </w:pPr>
      <w:r w:rsidRPr="00B9638F">
        <w:rPr>
          <w:szCs w:val="24"/>
        </w:rPr>
        <w:t xml:space="preserve">Foster good relations between persons who share a relevant protected characteristic and persons who do not share it. </w:t>
      </w:r>
    </w:p>
    <w:p w14:paraId="03452131" w14:textId="77777777" w:rsidR="00BF6C45" w:rsidRPr="00B9638F" w:rsidRDefault="00BF6C45" w:rsidP="005236B9">
      <w:pPr>
        <w:pStyle w:val="Heading3"/>
        <w:ind w:left="850" w:hanging="567"/>
        <w:jc w:val="left"/>
        <w:rPr>
          <w:b w:val="0"/>
          <w:bCs w:val="0"/>
          <w:sz w:val="24"/>
          <w:szCs w:val="24"/>
        </w:rPr>
      </w:pPr>
    </w:p>
    <w:p w14:paraId="0E171997" w14:textId="77777777" w:rsidR="00BF6C45" w:rsidRPr="00B9638F" w:rsidRDefault="00BF6C45" w:rsidP="0032474F">
      <w:pPr>
        <w:pStyle w:val="Heading3"/>
        <w:numPr>
          <w:ilvl w:val="0"/>
          <w:numId w:val="6"/>
        </w:numPr>
        <w:ind w:left="567" w:hanging="567"/>
        <w:jc w:val="left"/>
        <w:rPr>
          <w:b w:val="0"/>
          <w:bCs w:val="0"/>
          <w:sz w:val="24"/>
          <w:szCs w:val="24"/>
        </w:rPr>
      </w:pPr>
      <w:r w:rsidRPr="00B9638F">
        <w:rPr>
          <w:b w:val="0"/>
          <w:bCs w:val="0"/>
          <w:sz w:val="24"/>
          <w:szCs w:val="24"/>
        </w:rPr>
        <w:t xml:space="preserve">Having due regard to the need to advance equality of opportunity between persons who share a relevant protected characteristic and persons who do not share it involves having due regard, in particular, to the need to: </w:t>
      </w:r>
    </w:p>
    <w:p w14:paraId="273D5F98" w14:textId="77777777" w:rsidR="00BF6C45" w:rsidRPr="00B9638F" w:rsidRDefault="00BF6C45" w:rsidP="005236B9">
      <w:pPr>
        <w:ind w:left="567" w:hanging="567"/>
      </w:pPr>
    </w:p>
    <w:p w14:paraId="78891B5D" w14:textId="77777777" w:rsidR="00BF6C45" w:rsidRPr="00B9638F" w:rsidRDefault="00BF6C45" w:rsidP="0032474F">
      <w:pPr>
        <w:pStyle w:val="ListParagraph"/>
        <w:numPr>
          <w:ilvl w:val="0"/>
          <w:numId w:val="10"/>
        </w:numPr>
        <w:rPr>
          <w:szCs w:val="24"/>
        </w:rPr>
      </w:pPr>
      <w:r w:rsidRPr="00B9638F">
        <w:rPr>
          <w:szCs w:val="24"/>
        </w:rPr>
        <w:t xml:space="preserve">Remove or minimise disadvantages suffered by persons who share a relevant protected characteristic that are connected to that characteristic; </w:t>
      </w:r>
    </w:p>
    <w:p w14:paraId="3EEBB420" w14:textId="77777777" w:rsidR="00BF6C45" w:rsidRPr="00B9638F" w:rsidRDefault="00BF6C45" w:rsidP="0032474F">
      <w:pPr>
        <w:pStyle w:val="ListParagraph"/>
        <w:numPr>
          <w:ilvl w:val="0"/>
          <w:numId w:val="10"/>
        </w:numPr>
        <w:rPr>
          <w:szCs w:val="24"/>
        </w:rPr>
      </w:pPr>
      <w:r w:rsidRPr="00B9638F">
        <w:rPr>
          <w:szCs w:val="24"/>
        </w:rPr>
        <w:t xml:space="preserve">Take steps to meet the needs of persons who share a relevant protected characteristic that are different from the needs of persons who do not share it; and </w:t>
      </w:r>
    </w:p>
    <w:p w14:paraId="7369F47B" w14:textId="026117C9" w:rsidR="00BF6C45" w:rsidRPr="00B9638F" w:rsidRDefault="00BF6C45" w:rsidP="0032474F">
      <w:pPr>
        <w:pStyle w:val="ListParagraph"/>
        <w:numPr>
          <w:ilvl w:val="0"/>
          <w:numId w:val="10"/>
        </w:numPr>
        <w:rPr>
          <w:szCs w:val="24"/>
        </w:rPr>
      </w:pPr>
      <w:r w:rsidRPr="00B9638F">
        <w:rPr>
          <w:szCs w:val="24"/>
        </w:rPr>
        <w:t>Encourage persons who share a relevant protected characteristic to participate in public life or in any other activity in which participation by such persons is disproportionately low</w:t>
      </w:r>
      <w:r w:rsidR="0036559C" w:rsidRPr="00B9638F">
        <w:rPr>
          <w:szCs w:val="24"/>
        </w:rPr>
        <w:t>.</w:t>
      </w:r>
    </w:p>
    <w:p w14:paraId="42D5101D" w14:textId="77777777" w:rsidR="00BF6C45" w:rsidRPr="00B9638F" w:rsidRDefault="00BF6C45" w:rsidP="005236B9">
      <w:pPr>
        <w:pStyle w:val="Heading3"/>
        <w:ind w:left="567" w:hanging="567"/>
        <w:jc w:val="left"/>
        <w:rPr>
          <w:b w:val="0"/>
          <w:bCs w:val="0"/>
          <w:sz w:val="24"/>
          <w:szCs w:val="24"/>
        </w:rPr>
      </w:pPr>
    </w:p>
    <w:p w14:paraId="02D80513" w14:textId="77777777" w:rsidR="00BF6C45" w:rsidRPr="00B9638F" w:rsidRDefault="00BF6C45" w:rsidP="0032474F">
      <w:pPr>
        <w:pStyle w:val="Heading3"/>
        <w:numPr>
          <w:ilvl w:val="0"/>
          <w:numId w:val="6"/>
        </w:numPr>
        <w:ind w:left="567" w:hanging="567"/>
        <w:jc w:val="left"/>
        <w:rPr>
          <w:b w:val="0"/>
          <w:bCs w:val="0"/>
          <w:sz w:val="24"/>
          <w:szCs w:val="24"/>
        </w:rPr>
      </w:pPr>
      <w:r w:rsidRPr="00B9638F">
        <w:rPr>
          <w:b w:val="0"/>
          <w:bCs w:val="0"/>
          <w:sz w:val="24"/>
          <w:szCs w:val="24"/>
        </w:rPr>
        <w:t>Any procurement exercise to be undertaken will be subject to and conducted in accordance with the Public Contracts Regulations 2015 (PCR) and the Council’s Contract Procedure Rules.  The procurement exercise will also be subject to the EU Treaty principles of equal treatment, fairness and non-discrimination.</w:t>
      </w:r>
    </w:p>
    <w:p w14:paraId="344769E4" w14:textId="77777777" w:rsidR="00BF6C45" w:rsidRPr="00B9638F" w:rsidRDefault="00BF6C45" w:rsidP="005236B9">
      <w:pPr>
        <w:ind w:left="567" w:hanging="567"/>
      </w:pPr>
    </w:p>
    <w:p w14:paraId="32B62E51" w14:textId="79F893B9" w:rsidR="00BF6C45" w:rsidRPr="00B9638F" w:rsidRDefault="00BF6C45" w:rsidP="0032474F">
      <w:pPr>
        <w:pStyle w:val="Heading3"/>
        <w:numPr>
          <w:ilvl w:val="0"/>
          <w:numId w:val="6"/>
        </w:numPr>
        <w:ind w:left="567" w:hanging="567"/>
        <w:jc w:val="left"/>
        <w:rPr>
          <w:b w:val="0"/>
          <w:bCs w:val="0"/>
          <w:sz w:val="24"/>
          <w:szCs w:val="24"/>
        </w:rPr>
      </w:pPr>
      <w:r w:rsidRPr="00B9638F">
        <w:rPr>
          <w:b w:val="0"/>
          <w:bCs w:val="0"/>
          <w:sz w:val="24"/>
          <w:szCs w:val="24"/>
        </w:rPr>
        <w:t>The Council’s Legal Services, HB Public Law will be instructed to advise on the tendering process and completion of the contracts for the services to be procured and awarded under this report.</w:t>
      </w:r>
    </w:p>
    <w:p w14:paraId="50480A88" w14:textId="77777777" w:rsidR="00F97CF8" w:rsidRPr="00B9638F" w:rsidRDefault="00F97CF8" w:rsidP="00F97CF8"/>
    <w:p w14:paraId="11F2AC04" w14:textId="76C8D3A7" w:rsidR="00333FAA" w:rsidRPr="00B9638F" w:rsidRDefault="00333FAA" w:rsidP="00F97CF8">
      <w:pPr>
        <w:pStyle w:val="Heading3"/>
        <w:ind w:hanging="153"/>
      </w:pPr>
      <w:r w:rsidRPr="00B9638F">
        <w:t>Financial Implications</w:t>
      </w:r>
    </w:p>
    <w:p w14:paraId="116C9C1E" w14:textId="77777777" w:rsidR="00F97CF8" w:rsidRPr="00B9638F" w:rsidRDefault="00F97CF8" w:rsidP="00F97CF8"/>
    <w:p w14:paraId="0FAF5066" w14:textId="18034ADD" w:rsidR="0067764D" w:rsidRPr="0067764D" w:rsidRDefault="0063754B" w:rsidP="0063754B">
      <w:pPr>
        <w:pStyle w:val="ListParagraph"/>
        <w:numPr>
          <w:ilvl w:val="0"/>
          <w:numId w:val="6"/>
        </w:numPr>
        <w:ind w:left="567" w:hanging="567"/>
      </w:pPr>
      <w:r w:rsidRPr="00B9638F">
        <w:rPr>
          <w:rFonts w:cs="Arial"/>
          <w:szCs w:val="24"/>
        </w:rPr>
        <w:lastRenderedPageBreak/>
        <w:t>During 202</w:t>
      </w:r>
      <w:r w:rsidR="0053385B" w:rsidRPr="00B9638F">
        <w:rPr>
          <w:rFonts w:cs="Arial"/>
          <w:szCs w:val="24"/>
        </w:rPr>
        <w:t>1-22</w:t>
      </w:r>
      <w:r w:rsidR="008A5A25" w:rsidRPr="00B9638F">
        <w:rPr>
          <w:rFonts w:cs="Arial"/>
          <w:szCs w:val="24"/>
        </w:rPr>
        <w:t xml:space="preserve"> </w:t>
      </w:r>
      <w:r w:rsidR="0067764D">
        <w:rPr>
          <w:rFonts w:cs="Arial"/>
          <w:szCs w:val="24"/>
        </w:rPr>
        <w:t xml:space="preserve">expenditure in relation to externally purchased care </w:t>
      </w:r>
      <w:r w:rsidR="0067764D" w:rsidRPr="0067764D">
        <w:rPr>
          <w:rFonts w:cs="Arial"/>
          <w:szCs w:val="24"/>
        </w:rPr>
        <w:t xml:space="preserve">totalled just over £75.3m (this </w:t>
      </w:r>
      <w:r w:rsidR="0067764D" w:rsidRPr="00BB6B50">
        <w:rPr>
          <w:rFonts w:cs="Arial"/>
          <w:szCs w:val="24"/>
        </w:rPr>
        <w:t>expenditure r</w:t>
      </w:r>
      <w:r w:rsidR="0067764D" w:rsidRPr="00326AF3">
        <w:rPr>
          <w:rFonts w:cs="Arial"/>
          <w:szCs w:val="24"/>
        </w:rPr>
        <w:t>elates to all care types and includes costs for home care, supported accommodation, cash personal budgets and day care, as well as residential and nursing packages</w:t>
      </w:r>
      <w:r w:rsidR="00BB6B50">
        <w:rPr>
          <w:rFonts w:cs="Arial"/>
          <w:szCs w:val="24"/>
        </w:rPr>
        <w:t>)</w:t>
      </w:r>
      <w:r w:rsidR="0067764D">
        <w:rPr>
          <w:rFonts w:cs="Arial"/>
          <w:szCs w:val="24"/>
        </w:rPr>
        <w:t xml:space="preserve">.  </w:t>
      </w:r>
    </w:p>
    <w:p w14:paraId="09023F3F" w14:textId="77777777" w:rsidR="0067764D" w:rsidRPr="0067764D" w:rsidRDefault="0067764D" w:rsidP="00326AF3">
      <w:pPr>
        <w:pStyle w:val="ListParagraph"/>
        <w:ind w:left="567"/>
      </w:pPr>
    </w:p>
    <w:p w14:paraId="24308FB2" w14:textId="43EBB961" w:rsidR="00326AF3" w:rsidRPr="00326AF3" w:rsidRDefault="0067764D">
      <w:pPr>
        <w:pStyle w:val="ListParagraph"/>
        <w:numPr>
          <w:ilvl w:val="0"/>
          <w:numId w:val="6"/>
        </w:numPr>
        <w:ind w:left="567" w:hanging="567"/>
      </w:pPr>
      <w:r w:rsidRPr="00326AF3">
        <w:rPr>
          <w:rFonts w:cs="Arial"/>
          <w:szCs w:val="24"/>
        </w:rPr>
        <w:t xml:space="preserve">£36.4m </w:t>
      </w:r>
      <w:r w:rsidR="004F7178">
        <w:rPr>
          <w:rFonts w:cs="Arial"/>
          <w:szCs w:val="24"/>
        </w:rPr>
        <w:t xml:space="preserve">of the total expenditure of £75.3m </w:t>
      </w:r>
      <w:r w:rsidRPr="00326AF3">
        <w:rPr>
          <w:rFonts w:cs="Arial"/>
          <w:szCs w:val="24"/>
        </w:rPr>
        <w:t>was spent on residential and nursing care (bedded care)</w:t>
      </w:r>
      <w:r w:rsidRPr="0067764D">
        <w:rPr>
          <w:rFonts w:cs="Arial"/>
          <w:szCs w:val="24"/>
        </w:rPr>
        <w:t>.  I</w:t>
      </w:r>
      <w:r w:rsidRPr="00326AF3">
        <w:rPr>
          <w:rFonts w:cs="Arial"/>
          <w:szCs w:val="24"/>
        </w:rPr>
        <w:t xml:space="preserve">ncluded within this expenditure was £1.7m </w:t>
      </w:r>
      <w:r w:rsidRPr="0067764D">
        <w:rPr>
          <w:rFonts w:cs="Arial"/>
          <w:szCs w:val="24"/>
        </w:rPr>
        <w:t>(4.</w:t>
      </w:r>
      <w:r w:rsidR="00683EA8">
        <w:rPr>
          <w:rFonts w:cs="Arial"/>
          <w:szCs w:val="24"/>
        </w:rPr>
        <w:t>7</w:t>
      </w:r>
      <w:r w:rsidRPr="0067764D">
        <w:rPr>
          <w:rFonts w:cs="Arial"/>
          <w:szCs w:val="24"/>
        </w:rPr>
        <w:t xml:space="preserve">%) </w:t>
      </w:r>
      <w:r w:rsidRPr="00326AF3">
        <w:rPr>
          <w:rFonts w:cs="Arial"/>
          <w:szCs w:val="24"/>
        </w:rPr>
        <w:t>for block beds at Sancroft and Birchwood Grange.</w:t>
      </w:r>
      <w:r w:rsidR="001A2991">
        <w:rPr>
          <w:rFonts w:cs="Arial"/>
          <w:szCs w:val="24"/>
        </w:rPr>
        <w:t xml:space="preserve"> </w:t>
      </w:r>
      <w:r w:rsidRPr="00326AF3">
        <w:rPr>
          <w:rFonts w:cs="Arial"/>
          <w:szCs w:val="24"/>
        </w:rPr>
        <w:t>The remainder of the expenditure (£34.7m) was spent on spot residential and nursing placements.</w:t>
      </w:r>
    </w:p>
    <w:p w14:paraId="0B0DBC39" w14:textId="76055F80" w:rsidR="0063754B" w:rsidRPr="00B9638F" w:rsidRDefault="0063754B" w:rsidP="00326AF3">
      <w:pPr>
        <w:pStyle w:val="ListParagraph"/>
        <w:ind w:left="567"/>
      </w:pPr>
    </w:p>
    <w:p w14:paraId="75BC7765" w14:textId="2A7C93CF" w:rsidR="00456908" w:rsidRPr="00B9638F" w:rsidRDefault="0053385B" w:rsidP="003B142D">
      <w:pPr>
        <w:pStyle w:val="ListParagraph"/>
        <w:numPr>
          <w:ilvl w:val="0"/>
          <w:numId w:val="6"/>
        </w:numPr>
        <w:ind w:left="567" w:hanging="567"/>
      </w:pPr>
      <w:r w:rsidRPr="00B9638F">
        <w:t xml:space="preserve">Over time, </w:t>
      </w:r>
      <w:r w:rsidR="000D2CDE" w:rsidRPr="00B9638F">
        <w:t xml:space="preserve">the </w:t>
      </w:r>
      <w:r w:rsidR="00FB10E5" w:rsidRPr="00B9638F">
        <w:t xml:space="preserve">increase of block provision and the new </w:t>
      </w:r>
      <w:r w:rsidRPr="00B9638F">
        <w:t xml:space="preserve">extra </w:t>
      </w:r>
      <w:r w:rsidR="000D2CDE" w:rsidRPr="00B9638F">
        <w:t>care</w:t>
      </w:r>
      <w:r w:rsidR="00FB10E5" w:rsidRPr="00B9638F">
        <w:t xml:space="preserve"> unit will contribute to managing pressure on the </w:t>
      </w:r>
      <w:r w:rsidR="00C82BFC" w:rsidRPr="00B9638F">
        <w:t xml:space="preserve">ASC budget. The increase of block contracts at the WLA rates will secure </w:t>
      </w:r>
      <w:r w:rsidR="004920FE" w:rsidRPr="00B9638F">
        <w:t>financial certainty for the periods of the contracts</w:t>
      </w:r>
      <w:r w:rsidRPr="00B9638F">
        <w:t xml:space="preserve"> and</w:t>
      </w:r>
      <w:r w:rsidR="004920FE" w:rsidRPr="00B9638F">
        <w:t xml:space="preserve"> </w:t>
      </w:r>
      <w:r w:rsidR="008A61A9" w:rsidRPr="00B9638F">
        <w:t xml:space="preserve">will avoid individual </w:t>
      </w:r>
      <w:r w:rsidR="00830E95" w:rsidRPr="00B9638F">
        <w:t>provider negotiations on a case by case basis which incur higher costs.</w:t>
      </w:r>
    </w:p>
    <w:p w14:paraId="677D4DBA" w14:textId="77777777" w:rsidR="0063754B" w:rsidRPr="00B9638F" w:rsidRDefault="0063754B" w:rsidP="0063754B">
      <w:pPr>
        <w:pStyle w:val="ListParagraph"/>
        <w:ind w:left="567"/>
      </w:pPr>
    </w:p>
    <w:p w14:paraId="5F8B8216" w14:textId="083F4272" w:rsidR="00676459" w:rsidRPr="00B9638F" w:rsidRDefault="00676459" w:rsidP="00676459">
      <w:pPr>
        <w:pStyle w:val="ListParagraph"/>
        <w:numPr>
          <w:ilvl w:val="0"/>
          <w:numId w:val="6"/>
        </w:numPr>
        <w:ind w:left="567" w:hanging="567"/>
        <w:rPr>
          <w:szCs w:val="24"/>
        </w:rPr>
      </w:pPr>
      <w:r w:rsidRPr="00B9638F">
        <w:rPr>
          <w:rFonts w:cs="Arial"/>
          <w:szCs w:val="24"/>
        </w:rPr>
        <w:t>Block provision will reduce the total number of providers commissioned by the Council and the associated out of borough visits from Care Management, Quality Assurance, Contract Monitoring and Commissioning teams of the Council. It will reduce back office functions.</w:t>
      </w:r>
    </w:p>
    <w:p w14:paraId="4B1CE4A7" w14:textId="77777777" w:rsidR="00211D36" w:rsidRPr="00B9638F" w:rsidRDefault="00211D36" w:rsidP="00211D36">
      <w:pPr>
        <w:pStyle w:val="ListParagraph"/>
        <w:ind w:left="567"/>
      </w:pPr>
    </w:p>
    <w:p w14:paraId="65087C8B" w14:textId="359B359C" w:rsidR="00211D36" w:rsidRPr="00B9638F" w:rsidRDefault="00211D36" w:rsidP="00211D36">
      <w:pPr>
        <w:pStyle w:val="ListParagraph"/>
        <w:numPr>
          <w:ilvl w:val="0"/>
          <w:numId w:val="6"/>
        </w:numPr>
        <w:ind w:left="567" w:hanging="567"/>
        <w:rPr>
          <w:szCs w:val="24"/>
        </w:rPr>
      </w:pPr>
      <w:r w:rsidRPr="00B9638F">
        <w:t xml:space="preserve">Extra Care provides a cost avoidance, as it provides a more cost effective way to support citizens who are already known to ASC, but who are no longer able to continue living independently in their own home, but who are able to live independently with additional support.  Without Extra Care, these citizens would require a more costly residential placement.  </w:t>
      </w:r>
    </w:p>
    <w:p w14:paraId="0E060EBC" w14:textId="77777777" w:rsidR="00211D36" w:rsidRPr="00B9638F" w:rsidRDefault="00211D36" w:rsidP="00211D36">
      <w:pPr>
        <w:pStyle w:val="ListParagraph"/>
        <w:rPr>
          <w:szCs w:val="24"/>
        </w:rPr>
      </w:pPr>
    </w:p>
    <w:p w14:paraId="048418B7" w14:textId="77777777" w:rsidR="00211D36" w:rsidRPr="00B9638F" w:rsidRDefault="00211D36" w:rsidP="00211D36">
      <w:pPr>
        <w:pStyle w:val="ListParagraph"/>
        <w:numPr>
          <w:ilvl w:val="0"/>
          <w:numId w:val="6"/>
        </w:numPr>
        <w:ind w:left="567" w:hanging="567"/>
        <w:rPr>
          <w:szCs w:val="24"/>
        </w:rPr>
      </w:pPr>
      <w:r w:rsidRPr="00B9638F">
        <w:t>Citizens will have a tenancy with the landlord and each citizen will be responsible for paying rent and service charges either through their own means or through Housing Benefit.  The LA will only pay for the care delivered and does not incur accommodation charges as with Residential Care.</w:t>
      </w:r>
    </w:p>
    <w:p w14:paraId="5AB4CAEB" w14:textId="77777777" w:rsidR="00211D36" w:rsidRPr="00B9638F" w:rsidRDefault="00211D36" w:rsidP="00211D36">
      <w:pPr>
        <w:pStyle w:val="ListParagraph"/>
        <w:rPr>
          <w:szCs w:val="24"/>
        </w:rPr>
      </w:pPr>
    </w:p>
    <w:p w14:paraId="0BE9D3B9" w14:textId="09E460FC" w:rsidR="00F966D4" w:rsidRDefault="00211D36" w:rsidP="00231C0B">
      <w:pPr>
        <w:pStyle w:val="ListParagraph"/>
        <w:numPr>
          <w:ilvl w:val="0"/>
          <w:numId w:val="6"/>
        </w:numPr>
        <w:ind w:left="567" w:hanging="567"/>
        <w:rPr>
          <w:szCs w:val="24"/>
        </w:rPr>
      </w:pPr>
      <w:r w:rsidRPr="00B9638F">
        <w:t xml:space="preserve">The tender of the Care and Wellbeing service will enable the award of a cost effective, quality service for the Extra Care service. </w:t>
      </w:r>
      <w:r w:rsidR="003F1F5E" w:rsidRPr="00A266AD">
        <w:rPr>
          <w:szCs w:val="24"/>
        </w:rPr>
        <w:t>The LLW will be paid for the Extra Care, Care and Wellbeing service</w:t>
      </w:r>
      <w:r w:rsidR="00A266AD" w:rsidRPr="00A266AD">
        <w:rPr>
          <w:szCs w:val="24"/>
        </w:rPr>
        <w:t>.</w:t>
      </w:r>
      <w:r w:rsidR="003F1F5E" w:rsidRPr="00A266AD">
        <w:rPr>
          <w:szCs w:val="24"/>
        </w:rPr>
        <w:t xml:space="preserve"> </w:t>
      </w:r>
    </w:p>
    <w:p w14:paraId="19695DFE" w14:textId="77777777" w:rsidR="00A266AD" w:rsidRPr="00A266AD" w:rsidRDefault="00A266AD" w:rsidP="00A266AD">
      <w:pPr>
        <w:rPr>
          <w:szCs w:val="24"/>
        </w:rPr>
      </w:pPr>
    </w:p>
    <w:p w14:paraId="3850B984" w14:textId="6DF7EDEC" w:rsidR="00F966D4" w:rsidRPr="00B9638F" w:rsidRDefault="00F966D4" w:rsidP="003F1F5E">
      <w:pPr>
        <w:pStyle w:val="ListParagraph"/>
        <w:numPr>
          <w:ilvl w:val="0"/>
          <w:numId w:val="6"/>
        </w:numPr>
        <w:ind w:left="567" w:hanging="567"/>
        <w:rPr>
          <w:szCs w:val="24"/>
        </w:rPr>
      </w:pPr>
      <w:r w:rsidRPr="00B9638F">
        <w:rPr>
          <w:szCs w:val="24"/>
        </w:rPr>
        <w:t xml:space="preserve">The current MTFS does not include any growth for Adult Social Care and these proposals are expected to contribute towards managing service delivery within the existing budgetary provision. </w:t>
      </w:r>
    </w:p>
    <w:p w14:paraId="493D9F2C" w14:textId="77777777" w:rsidR="003F1F5E" w:rsidRPr="00B9638F" w:rsidRDefault="003F1F5E" w:rsidP="003F1F5E"/>
    <w:p w14:paraId="58D322E9" w14:textId="43D3BABA" w:rsidR="00E3380D" w:rsidRPr="00B9638F" w:rsidRDefault="00FA2795" w:rsidP="004E4FC9">
      <w:pPr>
        <w:pStyle w:val="ListParagraph"/>
        <w:numPr>
          <w:ilvl w:val="0"/>
          <w:numId w:val="6"/>
        </w:numPr>
        <w:ind w:left="567" w:hanging="567"/>
      </w:pPr>
      <w:r w:rsidRPr="00B9638F">
        <w:rPr>
          <w:szCs w:val="24"/>
        </w:rPr>
        <w:t>The full extent of the financial implications will be monitored over time as the spot to block contracts increase and the extra care unit is occupied.</w:t>
      </w:r>
      <w:r w:rsidR="00646859" w:rsidRPr="00B9638F">
        <w:rPr>
          <w:szCs w:val="24"/>
        </w:rPr>
        <w:t xml:space="preserve"> It should be noted that the care market prices are currently </w:t>
      </w:r>
      <w:r w:rsidR="00313483" w:rsidRPr="00B9638F">
        <w:t>susceptible to the following</w:t>
      </w:r>
      <w:r w:rsidR="00EA242A" w:rsidRPr="00B9638F">
        <w:t xml:space="preserve"> factors which will also be monitored</w:t>
      </w:r>
      <w:r w:rsidR="00313483" w:rsidRPr="00B9638F">
        <w:t>:</w:t>
      </w:r>
    </w:p>
    <w:p w14:paraId="36EF394F" w14:textId="77777777" w:rsidR="00E3380D" w:rsidRPr="00B9638F" w:rsidRDefault="00E3380D" w:rsidP="00E3380D">
      <w:pPr>
        <w:pStyle w:val="ListParagraph"/>
        <w:rPr>
          <w:szCs w:val="24"/>
        </w:rPr>
      </w:pPr>
    </w:p>
    <w:p w14:paraId="6CD6C455" w14:textId="77777777" w:rsidR="00BF62C3" w:rsidRPr="00B9638F" w:rsidRDefault="002855FD" w:rsidP="00BB5032">
      <w:pPr>
        <w:pStyle w:val="ListParagraph"/>
        <w:numPr>
          <w:ilvl w:val="0"/>
          <w:numId w:val="18"/>
        </w:numPr>
        <w:rPr>
          <w:szCs w:val="24"/>
        </w:rPr>
      </w:pPr>
      <w:r w:rsidRPr="00B9638F">
        <w:rPr>
          <w:szCs w:val="24"/>
        </w:rPr>
        <w:t xml:space="preserve">The </w:t>
      </w:r>
      <w:r w:rsidR="003B142D" w:rsidRPr="00B9638F">
        <w:rPr>
          <w:szCs w:val="24"/>
        </w:rPr>
        <w:t>Cost of Care Review of the local market</w:t>
      </w:r>
      <w:r w:rsidRPr="00B9638F">
        <w:rPr>
          <w:szCs w:val="24"/>
        </w:rPr>
        <w:t xml:space="preserve">, Harrow has started the review and </w:t>
      </w:r>
      <w:r w:rsidR="003B142D" w:rsidRPr="00B9638F">
        <w:rPr>
          <w:szCs w:val="24"/>
        </w:rPr>
        <w:t xml:space="preserve">in line with </w:t>
      </w:r>
      <w:r w:rsidR="00C61FF5" w:rsidRPr="00B9638F">
        <w:rPr>
          <w:szCs w:val="24"/>
        </w:rPr>
        <w:t>the DHSC guidance w</w:t>
      </w:r>
      <w:r w:rsidR="003B142D" w:rsidRPr="00B9638F">
        <w:rPr>
          <w:szCs w:val="24"/>
        </w:rPr>
        <w:t>ill publish its Market Sustainability Plan in February 2023 as part of the White Paper reforms</w:t>
      </w:r>
      <w:r w:rsidR="00BF62C3" w:rsidRPr="00B9638F">
        <w:rPr>
          <w:szCs w:val="24"/>
        </w:rPr>
        <w:t>.</w:t>
      </w:r>
    </w:p>
    <w:p w14:paraId="00CF1237" w14:textId="77777777" w:rsidR="00BF62C3" w:rsidRPr="00B9638F" w:rsidRDefault="00BF62C3" w:rsidP="006768BA">
      <w:pPr>
        <w:pStyle w:val="ListParagraph"/>
        <w:ind w:left="567"/>
        <w:rPr>
          <w:szCs w:val="24"/>
        </w:rPr>
      </w:pPr>
    </w:p>
    <w:p w14:paraId="7F142107" w14:textId="1F7A294D" w:rsidR="00BF62C3" w:rsidRPr="00B9638F" w:rsidRDefault="00BF62C3" w:rsidP="00BB5032">
      <w:pPr>
        <w:pStyle w:val="ListParagraph"/>
        <w:numPr>
          <w:ilvl w:val="0"/>
          <w:numId w:val="18"/>
        </w:numPr>
        <w:rPr>
          <w:szCs w:val="24"/>
        </w:rPr>
      </w:pPr>
      <w:r w:rsidRPr="00B9638F">
        <w:rPr>
          <w:szCs w:val="24"/>
        </w:rPr>
        <w:lastRenderedPageBreak/>
        <w:t xml:space="preserve">The ASC charging reforms will impact on </w:t>
      </w:r>
      <w:r w:rsidR="006869FE" w:rsidRPr="00B9638F">
        <w:rPr>
          <w:szCs w:val="24"/>
        </w:rPr>
        <w:t xml:space="preserve">the level of </w:t>
      </w:r>
      <w:r w:rsidR="005E34B1" w:rsidRPr="00B9638F">
        <w:rPr>
          <w:szCs w:val="24"/>
        </w:rPr>
        <w:t>client contributions (where applicable)</w:t>
      </w:r>
      <w:r w:rsidR="006869FE" w:rsidRPr="00B9638F">
        <w:rPr>
          <w:szCs w:val="24"/>
        </w:rPr>
        <w:t>, which will increase the cost of care to all councils.</w:t>
      </w:r>
    </w:p>
    <w:p w14:paraId="447505D8" w14:textId="77777777" w:rsidR="00BF62C3" w:rsidRPr="00B9638F" w:rsidRDefault="00BF62C3" w:rsidP="006768BA">
      <w:pPr>
        <w:pStyle w:val="ListParagraph"/>
        <w:ind w:left="567"/>
        <w:rPr>
          <w:szCs w:val="24"/>
        </w:rPr>
      </w:pPr>
    </w:p>
    <w:p w14:paraId="0DC9B77A" w14:textId="126EF7D4" w:rsidR="003B142D" w:rsidRPr="00B9638F" w:rsidRDefault="00553891" w:rsidP="00BB5032">
      <w:pPr>
        <w:pStyle w:val="ListParagraph"/>
        <w:numPr>
          <w:ilvl w:val="0"/>
          <w:numId w:val="18"/>
        </w:numPr>
      </w:pPr>
      <w:r w:rsidRPr="00B9638F">
        <w:rPr>
          <w:szCs w:val="24"/>
        </w:rPr>
        <w:t>T</w:t>
      </w:r>
      <w:r w:rsidR="00A24F32" w:rsidRPr="00B9638F">
        <w:rPr>
          <w:szCs w:val="24"/>
        </w:rPr>
        <w:t xml:space="preserve">he </w:t>
      </w:r>
      <w:r w:rsidRPr="00B9638F">
        <w:rPr>
          <w:szCs w:val="24"/>
        </w:rPr>
        <w:t xml:space="preserve">implementation of </w:t>
      </w:r>
      <w:r w:rsidR="003B142D" w:rsidRPr="00B9638F">
        <w:rPr>
          <w:szCs w:val="24"/>
        </w:rPr>
        <w:t>London Living Wage (LLW) over a period of time for bedded care, which is not a current requirement for providers</w:t>
      </w:r>
      <w:r w:rsidR="00BB5032" w:rsidRPr="00B9638F">
        <w:rPr>
          <w:szCs w:val="24"/>
        </w:rPr>
        <w:t>.</w:t>
      </w:r>
    </w:p>
    <w:p w14:paraId="40DD4E1A" w14:textId="77777777" w:rsidR="00BB5032" w:rsidRPr="00B9638F" w:rsidRDefault="00BB5032" w:rsidP="00BB5032">
      <w:pPr>
        <w:pStyle w:val="ListParagraph"/>
      </w:pPr>
    </w:p>
    <w:p w14:paraId="4626281A" w14:textId="3F9D3DA4" w:rsidR="00BB5032" w:rsidRPr="00B9638F" w:rsidRDefault="00BB5032" w:rsidP="00BB5032">
      <w:pPr>
        <w:pStyle w:val="ListParagraph"/>
        <w:numPr>
          <w:ilvl w:val="0"/>
          <w:numId w:val="18"/>
        </w:numPr>
      </w:pPr>
      <w:r w:rsidRPr="00B9638F">
        <w:t>The impact of in</w:t>
      </w:r>
      <w:r w:rsidR="005E50FC" w:rsidRPr="00B9638F">
        <w:t>flation over time.</w:t>
      </w:r>
    </w:p>
    <w:p w14:paraId="0E52A58E" w14:textId="77777777" w:rsidR="00F97CF8" w:rsidRPr="00B9638F" w:rsidRDefault="00F97CF8" w:rsidP="00F97CF8">
      <w:pPr>
        <w:ind w:firstLine="567"/>
      </w:pPr>
    </w:p>
    <w:p w14:paraId="41D80CF8" w14:textId="77777777" w:rsidR="00333FAA" w:rsidRPr="00B9638F" w:rsidRDefault="00333FAA" w:rsidP="00F97CF8">
      <w:pPr>
        <w:pStyle w:val="Heading3"/>
        <w:ind w:hanging="153"/>
      </w:pPr>
      <w:r w:rsidRPr="00B9638F">
        <w:t>Equalities implications</w:t>
      </w:r>
      <w:r w:rsidR="001C7E35" w:rsidRPr="00B9638F">
        <w:t xml:space="preserve"> </w:t>
      </w:r>
      <w:r w:rsidRPr="00B9638F">
        <w:t>/</w:t>
      </w:r>
      <w:r w:rsidR="001C7E35" w:rsidRPr="00B9638F">
        <w:t xml:space="preserve"> </w:t>
      </w:r>
      <w:r w:rsidRPr="00B9638F">
        <w:t>Public Sector Equality Duty</w:t>
      </w:r>
    </w:p>
    <w:p w14:paraId="47C36866" w14:textId="7B767557" w:rsidR="004D2B15" w:rsidRPr="00B9638F" w:rsidRDefault="004D2B15" w:rsidP="0032474F">
      <w:pPr>
        <w:pStyle w:val="Heading3"/>
        <w:numPr>
          <w:ilvl w:val="0"/>
          <w:numId w:val="6"/>
        </w:numPr>
        <w:spacing w:before="480" w:after="240"/>
        <w:ind w:hanging="644"/>
        <w:jc w:val="left"/>
        <w:rPr>
          <w:rFonts w:cs="Times New Roman"/>
          <w:b w:val="0"/>
          <w:bCs w:val="0"/>
          <w:iCs/>
          <w:sz w:val="24"/>
          <w:szCs w:val="20"/>
        </w:rPr>
      </w:pPr>
      <w:r w:rsidRPr="00B9638F">
        <w:rPr>
          <w:rFonts w:cs="Times New Roman"/>
          <w:b w:val="0"/>
          <w:bCs w:val="0"/>
          <w:iCs/>
          <w:sz w:val="24"/>
          <w:szCs w:val="20"/>
        </w:rPr>
        <w:t>An initial review of equalities impact has been undertaken and the overall conclusion of these assessments is that the implications are either positive or neutral. In particular</w:t>
      </w:r>
      <w:r w:rsidR="00F60A7E" w:rsidRPr="00B9638F">
        <w:rPr>
          <w:rFonts w:cs="Times New Roman"/>
          <w:b w:val="0"/>
          <w:bCs w:val="0"/>
          <w:iCs/>
          <w:sz w:val="24"/>
          <w:szCs w:val="20"/>
        </w:rPr>
        <w:t>,</w:t>
      </w:r>
      <w:r w:rsidRPr="00B9638F">
        <w:rPr>
          <w:rFonts w:cs="Times New Roman"/>
          <w:b w:val="0"/>
          <w:bCs w:val="0"/>
          <w:iCs/>
          <w:sz w:val="24"/>
          <w:szCs w:val="20"/>
        </w:rPr>
        <w:t xml:space="preserve"> an increase in suitable accommodation for an increasing population of over 65-year olds is positive for this age group. The commissioning of the wellbeing and care services will ensure that </w:t>
      </w:r>
      <w:r w:rsidRPr="00B9638F">
        <w:rPr>
          <w:rFonts w:cs="Times New Roman"/>
          <w:b w:val="0"/>
          <w:bCs w:val="0"/>
          <w:iCs/>
          <w:sz w:val="24"/>
          <w:szCs w:val="24"/>
        </w:rPr>
        <w:t>the</w:t>
      </w:r>
      <w:r w:rsidRPr="00B9638F">
        <w:rPr>
          <w:iCs/>
          <w:sz w:val="24"/>
          <w:szCs w:val="24"/>
        </w:rPr>
        <w:t xml:space="preserve"> </w:t>
      </w:r>
      <w:r w:rsidRPr="00B9638F">
        <w:rPr>
          <w:b w:val="0"/>
          <w:bCs w:val="0"/>
          <w:iCs/>
          <w:sz w:val="24"/>
          <w:szCs w:val="24"/>
        </w:rPr>
        <w:t>p</w:t>
      </w:r>
      <w:r w:rsidRPr="00B9638F">
        <w:rPr>
          <w:rFonts w:cs="Times New Roman"/>
          <w:b w:val="0"/>
          <w:bCs w:val="0"/>
          <w:iCs/>
          <w:sz w:val="24"/>
          <w:szCs w:val="20"/>
        </w:rPr>
        <w:t xml:space="preserve">rovider is able to meet the needs of Harrow’s ethnically diverse groups.  Officers will complete an </w:t>
      </w:r>
      <w:r w:rsidR="008D326E" w:rsidRPr="00B9638F">
        <w:rPr>
          <w:rFonts w:cs="Times New Roman"/>
          <w:b w:val="0"/>
          <w:bCs w:val="0"/>
          <w:iCs/>
          <w:sz w:val="24"/>
          <w:szCs w:val="20"/>
        </w:rPr>
        <w:t xml:space="preserve">Equalities Impact Assessment </w:t>
      </w:r>
      <w:r w:rsidR="006F5068" w:rsidRPr="00B9638F">
        <w:rPr>
          <w:rFonts w:cs="Times New Roman"/>
          <w:b w:val="0"/>
          <w:bCs w:val="0"/>
          <w:iCs/>
          <w:sz w:val="24"/>
          <w:szCs w:val="20"/>
        </w:rPr>
        <w:t>(</w:t>
      </w:r>
      <w:r w:rsidRPr="00B9638F">
        <w:rPr>
          <w:rFonts w:cs="Times New Roman"/>
          <w:b w:val="0"/>
          <w:bCs w:val="0"/>
          <w:iCs/>
          <w:sz w:val="24"/>
          <w:szCs w:val="20"/>
        </w:rPr>
        <w:t>EQIA</w:t>
      </w:r>
      <w:r w:rsidR="006F5068" w:rsidRPr="00B9638F">
        <w:rPr>
          <w:rFonts w:cs="Times New Roman"/>
          <w:b w:val="0"/>
          <w:bCs w:val="0"/>
          <w:iCs/>
          <w:sz w:val="24"/>
          <w:szCs w:val="20"/>
        </w:rPr>
        <w:t>)</w:t>
      </w:r>
      <w:r w:rsidRPr="00B9638F">
        <w:rPr>
          <w:rFonts w:cs="Times New Roman"/>
          <w:b w:val="0"/>
          <w:bCs w:val="0"/>
          <w:iCs/>
          <w:sz w:val="24"/>
          <w:szCs w:val="20"/>
        </w:rPr>
        <w:t xml:space="preserve"> as part of the procurement process</w:t>
      </w:r>
    </w:p>
    <w:p w14:paraId="0E9ED8C5" w14:textId="3385E8C3" w:rsidR="00333FAA" w:rsidRPr="00B9638F" w:rsidRDefault="00333FAA" w:rsidP="00F97CF8">
      <w:pPr>
        <w:pStyle w:val="Heading3"/>
        <w:ind w:left="0" w:firstLine="567"/>
      </w:pPr>
      <w:r w:rsidRPr="00B9638F">
        <w:t>Council Priorities</w:t>
      </w:r>
    </w:p>
    <w:p w14:paraId="333F4600" w14:textId="77777777" w:rsidR="00F97CF8" w:rsidRPr="00B9638F" w:rsidRDefault="00F97CF8" w:rsidP="00F97CF8">
      <w:pPr>
        <w:rPr>
          <w:rFonts w:eastAsia="Arial"/>
        </w:rPr>
      </w:pPr>
    </w:p>
    <w:p w14:paraId="4C3354F6" w14:textId="044D9D70" w:rsidR="005236B9" w:rsidRPr="00B9638F" w:rsidRDefault="005236B9" w:rsidP="0032474F">
      <w:pPr>
        <w:pStyle w:val="ListParagraph"/>
        <w:numPr>
          <w:ilvl w:val="0"/>
          <w:numId w:val="6"/>
        </w:numPr>
        <w:ind w:left="567" w:hanging="567"/>
      </w:pPr>
      <w:r w:rsidRPr="00B9638F">
        <w:t>Together the Extra Care strategy and emerging Bedded Care Strategy will contribute to the Council’s priorities of Putting Residents First by providing choice for extra care and securing quality provision for</w:t>
      </w:r>
      <w:r w:rsidR="005B43A5" w:rsidRPr="00B9638F">
        <w:t xml:space="preserve"> those citizens requiring</w:t>
      </w:r>
      <w:r w:rsidRPr="00B9638F">
        <w:t xml:space="preserve"> dementia</w:t>
      </w:r>
      <w:r w:rsidR="005B43A5" w:rsidRPr="00B9638F">
        <w:t xml:space="preserve"> care services</w:t>
      </w:r>
      <w:r w:rsidRPr="00B9638F">
        <w:t>.</w:t>
      </w:r>
    </w:p>
    <w:p w14:paraId="5514D939" w14:textId="77777777" w:rsidR="00333FAA" w:rsidRPr="00B9638F" w:rsidRDefault="00333FAA" w:rsidP="005E2593">
      <w:pPr>
        <w:pStyle w:val="Heading2"/>
        <w:keepNext/>
        <w:spacing w:before="480" w:after="240"/>
      </w:pPr>
      <w:r w:rsidRPr="00B9638F">
        <w:t>Section 3 - Statutory Officer Clearance</w:t>
      </w:r>
    </w:p>
    <w:p w14:paraId="3B5D52F9" w14:textId="55CF5A80" w:rsidR="00A66326" w:rsidRPr="00B9638F" w:rsidRDefault="00A66326" w:rsidP="005E2593">
      <w:pPr>
        <w:keepNext/>
        <w:rPr>
          <w:sz w:val="28"/>
        </w:rPr>
      </w:pPr>
      <w:r w:rsidRPr="00B9638F">
        <w:rPr>
          <w:b/>
          <w:sz w:val="28"/>
        </w:rPr>
        <w:t xml:space="preserve">Statutory Officer:  </w:t>
      </w:r>
      <w:r w:rsidR="00752EF7" w:rsidRPr="00B9638F">
        <w:rPr>
          <w:b/>
          <w:sz w:val="28"/>
        </w:rPr>
        <w:t>Donna Edwards</w:t>
      </w:r>
    </w:p>
    <w:p w14:paraId="06450070" w14:textId="03342262" w:rsidR="00A66326" w:rsidRPr="00B9638F" w:rsidRDefault="00A66326" w:rsidP="00A66326">
      <w:r w:rsidRPr="00B9638F">
        <w:t xml:space="preserve">Signed on </w:t>
      </w:r>
      <w:r w:rsidR="00B64F31">
        <w:t>behalf of</w:t>
      </w:r>
      <w:r w:rsidRPr="00B9638F">
        <w:t xml:space="preserve"> the Chief Financial Officer</w:t>
      </w:r>
    </w:p>
    <w:p w14:paraId="555021EF" w14:textId="0217B73D" w:rsidR="00A66326" w:rsidRPr="00B64F31" w:rsidRDefault="00A66326" w:rsidP="00A66326">
      <w:pPr>
        <w:spacing w:after="480"/>
        <w:rPr>
          <w:bCs/>
          <w:sz w:val="28"/>
        </w:rPr>
      </w:pPr>
      <w:r w:rsidRPr="00B9638F">
        <w:rPr>
          <w:b/>
          <w:sz w:val="28"/>
        </w:rPr>
        <w:t xml:space="preserve">Date:  </w:t>
      </w:r>
      <w:r w:rsidR="00B64F31" w:rsidRPr="00B64F31">
        <w:rPr>
          <w:bCs/>
          <w:sz w:val="28"/>
        </w:rPr>
        <w:t>0</w:t>
      </w:r>
      <w:r w:rsidR="006C2E27" w:rsidRPr="00B64F31">
        <w:rPr>
          <w:bCs/>
          <w:sz w:val="28"/>
        </w:rPr>
        <w:t>4</w:t>
      </w:r>
      <w:r w:rsidR="000D09A8" w:rsidRPr="00B64F31">
        <w:rPr>
          <w:bCs/>
          <w:sz w:val="28"/>
        </w:rPr>
        <w:t>/0</w:t>
      </w:r>
      <w:r w:rsidR="006C2E27" w:rsidRPr="00B64F31">
        <w:rPr>
          <w:bCs/>
          <w:sz w:val="28"/>
        </w:rPr>
        <w:t>7</w:t>
      </w:r>
      <w:r w:rsidR="000D09A8" w:rsidRPr="00B64F31">
        <w:rPr>
          <w:bCs/>
          <w:sz w:val="28"/>
        </w:rPr>
        <w:t>/2022</w:t>
      </w:r>
    </w:p>
    <w:p w14:paraId="7E329E85" w14:textId="01B0BC5B" w:rsidR="00A66326" w:rsidRPr="00B9638F" w:rsidRDefault="00A66326" w:rsidP="00A66326">
      <w:pPr>
        <w:rPr>
          <w:sz w:val="28"/>
        </w:rPr>
      </w:pPr>
      <w:r w:rsidRPr="00B9638F">
        <w:rPr>
          <w:b/>
          <w:sz w:val="28"/>
        </w:rPr>
        <w:t xml:space="preserve">Statutory Officer:  </w:t>
      </w:r>
      <w:r w:rsidR="00D276FD" w:rsidRPr="00B9638F">
        <w:rPr>
          <w:b/>
          <w:sz w:val="28"/>
        </w:rPr>
        <w:t>Mich</w:t>
      </w:r>
      <w:r w:rsidR="00F97CF8" w:rsidRPr="00B9638F">
        <w:rPr>
          <w:b/>
          <w:sz w:val="28"/>
        </w:rPr>
        <w:t>elle</w:t>
      </w:r>
      <w:r w:rsidR="00D276FD" w:rsidRPr="00B9638F">
        <w:rPr>
          <w:b/>
          <w:sz w:val="28"/>
        </w:rPr>
        <w:t xml:space="preserve"> Martin</w:t>
      </w:r>
    </w:p>
    <w:p w14:paraId="76F84634" w14:textId="4476423D" w:rsidR="00A66326" w:rsidRPr="00B9638F" w:rsidRDefault="00A66326" w:rsidP="00A66326">
      <w:r w:rsidRPr="00B9638F">
        <w:t xml:space="preserve">Signed </w:t>
      </w:r>
      <w:r w:rsidR="00B64F31">
        <w:t>on behalf of</w:t>
      </w:r>
      <w:r w:rsidRPr="00B9638F">
        <w:t xml:space="preserve"> the Monitoring Officer</w:t>
      </w:r>
    </w:p>
    <w:p w14:paraId="1AC0D358" w14:textId="07D7FA1A" w:rsidR="00A66326" w:rsidRPr="00B64F31" w:rsidRDefault="00A66326" w:rsidP="00A66326">
      <w:pPr>
        <w:spacing w:after="480"/>
        <w:rPr>
          <w:bCs/>
          <w:sz w:val="28"/>
        </w:rPr>
      </w:pPr>
      <w:r w:rsidRPr="00B9638F">
        <w:rPr>
          <w:b/>
          <w:sz w:val="28"/>
        </w:rPr>
        <w:t xml:space="preserve">Date:  </w:t>
      </w:r>
      <w:r w:rsidR="00B64F31" w:rsidRPr="00B64F31">
        <w:rPr>
          <w:bCs/>
          <w:sz w:val="28"/>
        </w:rPr>
        <w:t>0</w:t>
      </w:r>
      <w:r w:rsidR="00A075AE" w:rsidRPr="00B64F31">
        <w:rPr>
          <w:bCs/>
          <w:sz w:val="28"/>
        </w:rPr>
        <w:t>1</w:t>
      </w:r>
      <w:r w:rsidR="000D09A8" w:rsidRPr="00B64F31">
        <w:rPr>
          <w:bCs/>
          <w:sz w:val="28"/>
        </w:rPr>
        <w:t>/0</w:t>
      </w:r>
      <w:r w:rsidR="00A075AE" w:rsidRPr="00B64F31">
        <w:rPr>
          <w:bCs/>
          <w:sz w:val="28"/>
        </w:rPr>
        <w:t>7</w:t>
      </w:r>
      <w:r w:rsidR="000D09A8" w:rsidRPr="00B64F31">
        <w:rPr>
          <w:bCs/>
          <w:sz w:val="28"/>
        </w:rPr>
        <w:t>/2022</w:t>
      </w:r>
    </w:p>
    <w:p w14:paraId="31D8FA55" w14:textId="1FBF606E" w:rsidR="00BF5AFA" w:rsidRPr="00B9638F" w:rsidRDefault="00BF5AFA" w:rsidP="00BF5AFA">
      <w:pPr>
        <w:rPr>
          <w:sz w:val="28"/>
        </w:rPr>
      </w:pPr>
      <w:r w:rsidRPr="00B9638F">
        <w:rPr>
          <w:b/>
          <w:sz w:val="28"/>
        </w:rPr>
        <w:t xml:space="preserve">Chief Officer:  </w:t>
      </w:r>
      <w:r w:rsidR="00752EF7" w:rsidRPr="00B9638F">
        <w:rPr>
          <w:b/>
          <w:sz w:val="28"/>
        </w:rPr>
        <w:t>Peter Tolley</w:t>
      </w:r>
    </w:p>
    <w:p w14:paraId="6C086558" w14:textId="630A6434" w:rsidR="00BF5AFA" w:rsidRPr="00B9638F" w:rsidRDefault="00BF5AFA" w:rsidP="00BF5AFA">
      <w:r w:rsidRPr="00B9638F">
        <w:t>Signed by the Corporate Director</w:t>
      </w:r>
    </w:p>
    <w:p w14:paraId="5F67CDF0" w14:textId="482CD925" w:rsidR="00BF5AFA" w:rsidRPr="00B64F31" w:rsidRDefault="00BF5AFA" w:rsidP="00BF5AFA">
      <w:pPr>
        <w:spacing w:after="480"/>
        <w:rPr>
          <w:bCs/>
          <w:sz w:val="28"/>
        </w:rPr>
      </w:pPr>
      <w:r w:rsidRPr="00B9638F">
        <w:rPr>
          <w:b/>
          <w:sz w:val="28"/>
        </w:rPr>
        <w:t xml:space="preserve">Date:  </w:t>
      </w:r>
      <w:r w:rsidR="00B64F31" w:rsidRPr="00B64F31">
        <w:rPr>
          <w:bCs/>
          <w:sz w:val="28"/>
        </w:rPr>
        <w:t>0</w:t>
      </w:r>
      <w:r w:rsidR="00A075AE" w:rsidRPr="00B64F31">
        <w:rPr>
          <w:bCs/>
          <w:sz w:val="28"/>
        </w:rPr>
        <w:t>4</w:t>
      </w:r>
      <w:r w:rsidR="000D09A8" w:rsidRPr="00B64F31">
        <w:rPr>
          <w:bCs/>
          <w:sz w:val="28"/>
        </w:rPr>
        <w:t>/0</w:t>
      </w:r>
      <w:r w:rsidR="00A075AE" w:rsidRPr="00B64F31">
        <w:rPr>
          <w:bCs/>
          <w:sz w:val="28"/>
        </w:rPr>
        <w:t>7</w:t>
      </w:r>
      <w:r w:rsidR="000D09A8" w:rsidRPr="00B64F31">
        <w:rPr>
          <w:bCs/>
          <w:sz w:val="28"/>
        </w:rPr>
        <w:t>/2022</w:t>
      </w:r>
    </w:p>
    <w:p w14:paraId="2C546334" w14:textId="686484FE" w:rsidR="00BF5AFA" w:rsidRPr="00B9638F" w:rsidRDefault="00BF5AFA" w:rsidP="00BF5AFA">
      <w:pPr>
        <w:rPr>
          <w:sz w:val="28"/>
        </w:rPr>
      </w:pPr>
      <w:r w:rsidRPr="00B9638F">
        <w:rPr>
          <w:b/>
          <w:sz w:val="28"/>
        </w:rPr>
        <w:t xml:space="preserve">Head of Procurement:  </w:t>
      </w:r>
      <w:r w:rsidR="00752EF7" w:rsidRPr="00B9638F">
        <w:rPr>
          <w:b/>
          <w:sz w:val="28"/>
        </w:rPr>
        <w:t>Nimesh Meh</w:t>
      </w:r>
      <w:r w:rsidR="001449C1" w:rsidRPr="00B9638F">
        <w:rPr>
          <w:b/>
          <w:sz w:val="28"/>
        </w:rPr>
        <w:t>t</w:t>
      </w:r>
      <w:r w:rsidR="00752EF7" w:rsidRPr="00B9638F">
        <w:rPr>
          <w:b/>
          <w:sz w:val="28"/>
        </w:rPr>
        <w:t>a</w:t>
      </w:r>
    </w:p>
    <w:p w14:paraId="3C6E94C3" w14:textId="0831D9D1" w:rsidR="00BF5AFA" w:rsidRPr="00B9638F" w:rsidRDefault="00BF5AFA" w:rsidP="00BF5AFA">
      <w:r w:rsidRPr="00B9638F">
        <w:t>Signed by the Head of Procurement</w:t>
      </w:r>
    </w:p>
    <w:p w14:paraId="5A683B65" w14:textId="7B932EF7" w:rsidR="00BF5AFA" w:rsidRPr="00B64F31" w:rsidRDefault="00BF5AFA" w:rsidP="00BF5AFA">
      <w:pPr>
        <w:spacing w:after="480"/>
        <w:rPr>
          <w:bCs/>
          <w:sz w:val="28"/>
        </w:rPr>
      </w:pPr>
      <w:r w:rsidRPr="00B9638F">
        <w:rPr>
          <w:b/>
          <w:sz w:val="28"/>
        </w:rPr>
        <w:t xml:space="preserve">Date:  </w:t>
      </w:r>
      <w:r w:rsidR="00B64F31" w:rsidRPr="00B64F31">
        <w:rPr>
          <w:bCs/>
          <w:sz w:val="28"/>
        </w:rPr>
        <w:t>0</w:t>
      </w:r>
      <w:r w:rsidR="00A075AE" w:rsidRPr="00B64F31">
        <w:rPr>
          <w:bCs/>
          <w:sz w:val="28"/>
        </w:rPr>
        <w:t>1/07/2022</w:t>
      </w:r>
    </w:p>
    <w:p w14:paraId="113297A5" w14:textId="13675213" w:rsidR="00BF5AFA" w:rsidRPr="00B9638F" w:rsidRDefault="00BF5AFA" w:rsidP="00BF5AFA">
      <w:pPr>
        <w:rPr>
          <w:sz w:val="28"/>
        </w:rPr>
      </w:pPr>
      <w:r w:rsidRPr="00B9638F">
        <w:rPr>
          <w:b/>
          <w:sz w:val="28"/>
        </w:rPr>
        <w:lastRenderedPageBreak/>
        <w:t xml:space="preserve">Head of Internal Audit:  </w:t>
      </w:r>
      <w:r w:rsidR="00752EF7" w:rsidRPr="00B9638F">
        <w:rPr>
          <w:b/>
          <w:sz w:val="28"/>
        </w:rPr>
        <w:t>Susan Dixon</w:t>
      </w:r>
    </w:p>
    <w:p w14:paraId="5CF04A24" w14:textId="3CED3043" w:rsidR="00BF5AFA" w:rsidRPr="00B9638F" w:rsidRDefault="00BF5AFA" w:rsidP="00BF5AFA">
      <w:r w:rsidRPr="00B9638F">
        <w:t xml:space="preserve">Signed </w:t>
      </w:r>
      <w:r w:rsidR="00B64F31">
        <w:t>by</w:t>
      </w:r>
      <w:r w:rsidRPr="00B9638F">
        <w:t xml:space="preserve"> the Head of Internal Audit</w:t>
      </w:r>
    </w:p>
    <w:p w14:paraId="065BF29C" w14:textId="5A222B5B" w:rsidR="00BF5AFA" w:rsidRPr="00B9638F" w:rsidRDefault="00BF5AFA" w:rsidP="000D09A8">
      <w:pPr>
        <w:spacing w:after="480"/>
        <w:rPr>
          <w:sz w:val="28"/>
        </w:rPr>
      </w:pPr>
      <w:r w:rsidRPr="00B9638F">
        <w:rPr>
          <w:sz w:val="28"/>
        </w:rPr>
        <w:t>Date:</w:t>
      </w:r>
      <w:r w:rsidR="000032AD" w:rsidRPr="00B9638F">
        <w:rPr>
          <w:sz w:val="28"/>
        </w:rPr>
        <w:t xml:space="preserve">  </w:t>
      </w:r>
      <w:r w:rsidR="00B64F31">
        <w:rPr>
          <w:sz w:val="28"/>
        </w:rPr>
        <w:t>0</w:t>
      </w:r>
      <w:r w:rsidR="00A075AE" w:rsidRPr="00B9638F">
        <w:rPr>
          <w:sz w:val="28"/>
        </w:rPr>
        <w:t>4</w:t>
      </w:r>
      <w:r w:rsidR="000D09A8" w:rsidRPr="00B9638F">
        <w:rPr>
          <w:sz w:val="28"/>
        </w:rPr>
        <w:t>/0</w:t>
      </w:r>
      <w:r w:rsidR="00A075AE" w:rsidRPr="00B9638F">
        <w:rPr>
          <w:sz w:val="28"/>
        </w:rPr>
        <w:t>7</w:t>
      </w:r>
      <w:r w:rsidR="000D09A8" w:rsidRPr="00B9638F">
        <w:rPr>
          <w:sz w:val="28"/>
        </w:rPr>
        <w:t>/2022</w:t>
      </w:r>
    </w:p>
    <w:p w14:paraId="45A19EC7" w14:textId="59434FDF" w:rsidR="003313EA" w:rsidRPr="00B9638F" w:rsidRDefault="003313EA" w:rsidP="00BF5AFA">
      <w:pPr>
        <w:pStyle w:val="Heading2"/>
        <w:spacing w:before="480" w:after="240"/>
      </w:pPr>
      <w:r w:rsidRPr="00B9638F">
        <w:t>Mandatory Checks</w:t>
      </w:r>
    </w:p>
    <w:p w14:paraId="64551188" w14:textId="14FB9BEC" w:rsidR="003313EA" w:rsidRPr="00B64F31" w:rsidRDefault="003313EA" w:rsidP="003313EA">
      <w:pPr>
        <w:pStyle w:val="Heading3"/>
        <w:ind w:left="0" w:firstLine="0"/>
        <w:jc w:val="left"/>
        <w:rPr>
          <w:b w:val="0"/>
          <w:bCs w:val="0"/>
        </w:rPr>
      </w:pPr>
      <w:r w:rsidRPr="00B9638F">
        <w:t xml:space="preserve">Ward Councillors notified:  </w:t>
      </w:r>
      <w:r w:rsidRPr="00B64F31">
        <w:rPr>
          <w:b w:val="0"/>
          <w:bCs w:val="0"/>
        </w:rPr>
        <w:t xml:space="preserve">NO, as it impacts on all Wards </w:t>
      </w:r>
    </w:p>
    <w:p w14:paraId="2A2D9472" w14:textId="7D1475E4" w:rsidR="003313EA" w:rsidRPr="00B9638F" w:rsidRDefault="003313EA" w:rsidP="003313EA">
      <w:pPr>
        <w:pStyle w:val="Heading3"/>
        <w:spacing w:before="240"/>
        <w:rPr>
          <w:b w:val="0"/>
        </w:rPr>
      </w:pPr>
      <w:r w:rsidRPr="00B9638F">
        <w:t>EqIA carried out:  NO</w:t>
      </w:r>
    </w:p>
    <w:p w14:paraId="1DFB8499" w14:textId="77777777" w:rsidR="00805689" w:rsidRPr="00B9638F" w:rsidRDefault="00805689" w:rsidP="003313EA">
      <w:pPr>
        <w:pStyle w:val="Infotext"/>
        <w:rPr>
          <w:sz w:val="24"/>
          <w:szCs w:val="24"/>
        </w:rPr>
      </w:pPr>
    </w:p>
    <w:p w14:paraId="4667136A" w14:textId="245925F6" w:rsidR="00805689" w:rsidRPr="00B9638F" w:rsidRDefault="00805689" w:rsidP="00805689">
      <w:pPr>
        <w:pStyle w:val="Infotext"/>
        <w:rPr>
          <w:rFonts w:cs="Arial"/>
          <w:sz w:val="24"/>
          <w:szCs w:val="24"/>
        </w:rPr>
      </w:pPr>
      <w:r w:rsidRPr="00B9638F">
        <w:rPr>
          <w:rFonts w:cs="Arial"/>
          <w:iCs/>
          <w:sz w:val="24"/>
          <w:szCs w:val="24"/>
        </w:rPr>
        <w:t>An initial review of equalities impact has been undertaken and the overall conclusion of these assessments is that the implications are either positive or neutral.</w:t>
      </w:r>
      <w:r w:rsidRPr="00B9638F">
        <w:rPr>
          <w:rFonts w:cs="Arial"/>
          <w:sz w:val="24"/>
          <w:szCs w:val="24"/>
        </w:rPr>
        <w:t xml:space="preserve"> The EQIA will be </w:t>
      </w:r>
      <w:r w:rsidR="008F5971" w:rsidRPr="00B9638F">
        <w:rPr>
          <w:rFonts w:cs="Arial"/>
          <w:sz w:val="24"/>
          <w:szCs w:val="24"/>
        </w:rPr>
        <w:t>completed</w:t>
      </w:r>
      <w:r w:rsidRPr="00B9638F">
        <w:rPr>
          <w:rFonts w:cs="Arial"/>
          <w:sz w:val="24"/>
          <w:szCs w:val="24"/>
        </w:rPr>
        <w:t xml:space="preserve"> in preparation for procurement </w:t>
      </w:r>
      <w:r w:rsidR="00DA53BB" w:rsidRPr="00B9638F">
        <w:rPr>
          <w:rFonts w:cs="Arial"/>
          <w:sz w:val="24"/>
          <w:szCs w:val="24"/>
        </w:rPr>
        <w:t xml:space="preserve">of block contracts </w:t>
      </w:r>
      <w:r w:rsidR="007E1765" w:rsidRPr="00B9638F">
        <w:rPr>
          <w:rFonts w:cs="Arial"/>
          <w:sz w:val="24"/>
          <w:szCs w:val="24"/>
        </w:rPr>
        <w:t>o</w:t>
      </w:r>
      <w:r w:rsidR="00DA53BB" w:rsidRPr="00B9638F">
        <w:rPr>
          <w:rFonts w:cs="Arial"/>
          <w:sz w:val="24"/>
          <w:szCs w:val="24"/>
        </w:rPr>
        <w:t>n a case</w:t>
      </w:r>
      <w:r w:rsidR="0068044B" w:rsidRPr="00B9638F">
        <w:rPr>
          <w:rFonts w:cs="Arial"/>
          <w:sz w:val="24"/>
          <w:szCs w:val="24"/>
        </w:rPr>
        <w:t>-</w:t>
      </w:r>
      <w:r w:rsidR="00DA53BB" w:rsidRPr="00B9638F">
        <w:rPr>
          <w:rFonts w:cs="Arial"/>
          <w:sz w:val="24"/>
          <w:szCs w:val="24"/>
        </w:rPr>
        <w:t>by</w:t>
      </w:r>
      <w:r w:rsidR="0068044B" w:rsidRPr="00B9638F">
        <w:rPr>
          <w:rFonts w:cs="Arial"/>
          <w:sz w:val="24"/>
          <w:szCs w:val="24"/>
        </w:rPr>
        <w:t>-</w:t>
      </w:r>
      <w:r w:rsidR="00DA53BB" w:rsidRPr="00B9638F">
        <w:rPr>
          <w:rFonts w:cs="Arial"/>
          <w:sz w:val="24"/>
          <w:szCs w:val="24"/>
        </w:rPr>
        <w:t>case basis.</w:t>
      </w:r>
    </w:p>
    <w:p w14:paraId="4E19949C" w14:textId="77777777" w:rsidR="00805689" w:rsidRPr="00B9638F" w:rsidRDefault="00805689" w:rsidP="003313EA">
      <w:pPr>
        <w:pStyle w:val="Infotext"/>
      </w:pPr>
    </w:p>
    <w:p w14:paraId="6B589F3A" w14:textId="5C0E2815" w:rsidR="003313EA" w:rsidRPr="00B9638F" w:rsidRDefault="003313EA" w:rsidP="00842757">
      <w:pPr>
        <w:pStyle w:val="Heading3"/>
        <w:spacing w:before="240"/>
        <w:jc w:val="left"/>
      </w:pPr>
      <w:r w:rsidRPr="00B9638F">
        <w:t xml:space="preserve">EqIA cleared by:  </w:t>
      </w:r>
      <w:r w:rsidR="00F97CF8" w:rsidRPr="00B9638F">
        <w:t>N</w:t>
      </w:r>
      <w:r w:rsidR="00B9638F" w:rsidRPr="00B9638F">
        <w:t>/</w:t>
      </w:r>
      <w:r w:rsidR="00F97CF8" w:rsidRPr="00B9638F">
        <w:t>A</w:t>
      </w:r>
    </w:p>
    <w:p w14:paraId="41E16C55" w14:textId="77777777" w:rsidR="00333FAA" w:rsidRPr="00B9638F" w:rsidRDefault="00333FAA" w:rsidP="00842757">
      <w:pPr>
        <w:pStyle w:val="Heading2"/>
        <w:spacing w:before="480" w:after="240"/>
      </w:pPr>
      <w:r w:rsidRPr="00B9638F">
        <w:t xml:space="preserve">Section </w:t>
      </w:r>
      <w:r w:rsidR="00A20113" w:rsidRPr="00B9638F">
        <w:t>4</w:t>
      </w:r>
      <w:r w:rsidRPr="00B9638F">
        <w:t xml:space="preserve"> - Contact Details and Background Papers</w:t>
      </w:r>
    </w:p>
    <w:p w14:paraId="6558F7A7" w14:textId="011BF8B3" w:rsidR="00824033" w:rsidRDefault="00333FAA" w:rsidP="00CC18AC">
      <w:pPr>
        <w:pStyle w:val="Infotext"/>
        <w:spacing w:after="240"/>
        <w:rPr>
          <w:rFonts w:cs="Arial"/>
          <w:lang w:eastAsia="en-GB"/>
        </w:rPr>
      </w:pPr>
      <w:r w:rsidRPr="004E47FC">
        <w:rPr>
          <w:b/>
        </w:rPr>
        <w:t xml:space="preserve">Contact:  </w:t>
      </w:r>
      <w:r w:rsidR="00DA53BB">
        <w:rPr>
          <w:b/>
        </w:rPr>
        <w:t xml:space="preserve">Peter Singh, Head of Service </w:t>
      </w:r>
      <w:r w:rsidR="002723D8">
        <w:rPr>
          <w:rFonts w:cs="Arial"/>
          <w:lang w:eastAsia="en-GB"/>
        </w:rPr>
        <w:t>Market Management &amp; Commissioning, People Services</w:t>
      </w:r>
      <w:r w:rsidR="00824033">
        <w:rPr>
          <w:rFonts w:cs="Arial"/>
          <w:lang w:eastAsia="en-GB"/>
        </w:rPr>
        <w:t xml:space="preserve">, </w:t>
      </w:r>
      <w:hyperlink r:id="rId13" w:history="1">
        <w:r w:rsidR="00824033" w:rsidRPr="00A30361">
          <w:rPr>
            <w:rStyle w:val="Hyperlink"/>
            <w:rFonts w:cs="Arial"/>
            <w:lang w:eastAsia="en-GB"/>
          </w:rPr>
          <w:t>peter.singh@harrow.gov.uk</w:t>
        </w:r>
      </w:hyperlink>
    </w:p>
    <w:p w14:paraId="77C58D4B" w14:textId="20DD5029" w:rsidR="00333FAA" w:rsidRPr="00752EF7" w:rsidRDefault="00333FAA" w:rsidP="00CC18AC">
      <w:pPr>
        <w:pStyle w:val="Infotext"/>
        <w:spacing w:after="240"/>
        <w:rPr>
          <w:b/>
        </w:rPr>
      </w:pPr>
      <w:r w:rsidRPr="004E47FC">
        <w:rPr>
          <w:b/>
        </w:rPr>
        <w:t xml:space="preserve">Background Papers: </w:t>
      </w:r>
      <w:r w:rsidR="005808FB">
        <w:rPr>
          <w:b/>
        </w:rPr>
        <w:t xml:space="preserve"> </w:t>
      </w:r>
      <w:r w:rsidR="00752EF7" w:rsidRPr="00752EF7">
        <w:t>None</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65278E19" w:rsidR="00842757" w:rsidRDefault="00842757" w:rsidP="00842757">
      <w:pPr>
        <w:pStyle w:val="Infotext"/>
        <w:spacing w:before="240"/>
      </w:pPr>
      <w:r w:rsidRPr="003D78F6">
        <w:rPr>
          <w:b/>
        </w:rPr>
        <w:t>N</w:t>
      </w:r>
      <w:r w:rsidR="00752EF7">
        <w:rPr>
          <w:b/>
        </w:rPr>
        <w:t>O</w:t>
      </w:r>
    </w:p>
    <w:sectPr w:rsidR="00842757"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30EA" w14:textId="77777777" w:rsidR="00357DD3" w:rsidRDefault="00357DD3">
      <w:r>
        <w:separator/>
      </w:r>
    </w:p>
  </w:endnote>
  <w:endnote w:type="continuationSeparator" w:id="0">
    <w:p w14:paraId="2BC44060" w14:textId="77777777" w:rsidR="00357DD3" w:rsidRDefault="0035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GDS Transpor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99DB" w14:textId="77777777" w:rsidR="00357DD3" w:rsidRDefault="00357DD3">
      <w:r>
        <w:separator/>
      </w:r>
    </w:p>
  </w:footnote>
  <w:footnote w:type="continuationSeparator" w:id="0">
    <w:p w14:paraId="232CAFCB" w14:textId="77777777" w:rsidR="00357DD3" w:rsidRDefault="00357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201"/>
    <w:multiLevelType w:val="hybridMultilevel"/>
    <w:tmpl w:val="2D765FC4"/>
    <w:lvl w:ilvl="0" w:tplc="08090001">
      <w:start w:val="1"/>
      <w:numFmt w:val="bullet"/>
      <w:lvlText w:val=""/>
      <w:lvlJc w:val="left"/>
      <w:pPr>
        <w:ind w:left="644" w:hanging="360"/>
      </w:pPr>
      <w:rPr>
        <w:rFonts w:ascii="Symbol" w:hAnsi="Symbol"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B4911"/>
    <w:multiLevelType w:val="hybridMultilevel"/>
    <w:tmpl w:val="A1A6CB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346F88"/>
    <w:multiLevelType w:val="multilevel"/>
    <w:tmpl w:val="E662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17089"/>
    <w:multiLevelType w:val="hybridMultilevel"/>
    <w:tmpl w:val="FD5AEF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8F37365"/>
    <w:multiLevelType w:val="hybridMultilevel"/>
    <w:tmpl w:val="8A404AEC"/>
    <w:lvl w:ilvl="0" w:tplc="08090001">
      <w:start w:val="1"/>
      <w:numFmt w:val="bullet"/>
      <w:lvlText w:val=""/>
      <w:lvlJc w:val="left"/>
      <w:pPr>
        <w:ind w:left="644" w:hanging="360"/>
      </w:pPr>
      <w:rPr>
        <w:rFonts w:ascii="Symbol" w:hAnsi="Symbol"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25F53"/>
    <w:multiLevelType w:val="hybridMultilevel"/>
    <w:tmpl w:val="579A1120"/>
    <w:lvl w:ilvl="0" w:tplc="EF588FE4">
      <w:start w:val="1"/>
      <w:numFmt w:val="decimal"/>
      <w:lvlText w:val="%1."/>
      <w:lvlJc w:val="left"/>
      <w:pPr>
        <w:ind w:left="720" w:hanging="360"/>
      </w:pPr>
      <w:rPr>
        <w:rFonts w:ascii="Arial" w:hAnsi="Arial" w:cs="Arial" w:hint="default"/>
        <w:b w:val="0"/>
        <w:bCs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F9438C"/>
    <w:multiLevelType w:val="hybridMultilevel"/>
    <w:tmpl w:val="0F42DAFA"/>
    <w:lvl w:ilvl="0" w:tplc="08090001">
      <w:start w:val="1"/>
      <w:numFmt w:val="bullet"/>
      <w:lvlText w:val=""/>
      <w:lvlJc w:val="left"/>
      <w:pPr>
        <w:ind w:left="927" w:hanging="360"/>
      </w:pPr>
      <w:rPr>
        <w:rFonts w:ascii="Symbol" w:hAnsi="Symbol" w:hint="default"/>
        <w:b w:val="0"/>
        <w:bCs w:val="0"/>
        <w:color w:val="auto"/>
        <w:sz w:val="24"/>
        <w:szCs w:val="24"/>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5680355D"/>
    <w:multiLevelType w:val="hybridMultilevel"/>
    <w:tmpl w:val="D342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B7116"/>
    <w:multiLevelType w:val="hybridMultilevel"/>
    <w:tmpl w:val="0EAC5D90"/>
    <w:lvl w:ilvl="0" w:tplc="2D6840D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D1E76"/>
    <w:multiLevelType w:val="hybridMultilevel"/>
    <w:tmpl w:val="7E108C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AEB0B4E"/>
    <w:multiLevelType w:val="hybridMultilevel"/>
    <w:tmpl w:val="773EED16"/>
    <w:lvl w:ilvl="0" w:tplc="3AF07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860DB"/>
    <w:multiLevelType w:val="hybridMultilevel"/>
    <w:tmpl w:val="CAF6BE82"/>
    <w:lvl w:ilvl="0" w:tplc="EF588FE4">
      <w:start w:val="1"/>
      <w:numFmt w:val="decimal"/>
      <w:lvlText w:val="%1."/>
      <w:lvlJc w:val="left"/>
      <w:pPr>
        <w:ind w:left="644" w:hanging="360"/>
      </w:pPr>
      <w:rPr>
        <w:rFonts w:ascii="Arial" w:hAnsi="Arial" w:cs="Arial"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6E70B1"/>
    <w:multiLevelType w:val="hybridMultilevel"/>
    <w:tmpl w:val="80E8D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15"/>
  </w:num>
  <w:num w:numId="5">
    <w:abstractNumId w:val="9"/>
  </w:num>
  <w:num w:numId="6">
    <w:abstractNumId w:val="14"/>
  </w:num>
  <w:num w:numId="7">
    <w:abstractNumId w:val="7"/>
  </w:num>
  <w:num w:numId="8">
    <w:abstractNumId w:val="0"/>
  </w:num>
  <w:num w:numId="9">
    <w:abstractNumId w:val="5"/>
  </w:num>
  <w:num w:numId="10">
    <w:abstractNumId w:val="8"/>
  </w:num>
  <w:num w:numId="11">
    <w:abstractNumId w:val="2"/>
  </w:num>
  <w:num w:numId="12">
    <w:abstractNumId w:val="1"/>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10"/>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E5B"/>
    <w:rsid w:val="000024F9"/>
    <w:rsid w:val="000032AD"/>
    <w:rsid w:val="00004CE9"/>
    <w:rsid w:val="0000601C"/>
    <w:rsid w:val="0000689B"/>
    <w:rsid w:val="00007C8F"/>
    <w:rsid w:val="0001041E"/>
    <w:rsid w:val="00011943"/>
    <w:rsid w:val="000143A0"/>
    <w:rsid w:val="00021052"/>
    <w:rsid w:val="00021AE1"/>
    <w:rsid w:val="00023B2D"/>
    <w:rsid w:val="00025A29"/>
    <w:rsid w:val="00032578"/>
    <w:rsid w:val="0004029A"/>
    <w:rsid w:val="0004419C"/>
    <w:rsid w:val="0004603B"/>
    <w:rsid w:val="000474E3"/>
    <w:rsid w:val="00051541"/>
    <w:rsid w:val="000516C7"/>
    <w:rsid w:val="00051938"/>
    <w:rsid w:val="00053DEE"/>
    <w:rsid w:val="0005455E"/>
    <w:rsid w:val="00056398"/>
    <w:rsid w:val="0006034E"/>
    <w:rsid w:val="000625F6"/>
    <w:rsid w:val="00062EB8"/>
    <w:rsid w:val="00063783"/>
    <w:rsid w:val="0006624C"/>
    <w:rsid w:val="000727C4"/>
    <w:rsid w:val="00073765"/>
    <w:rsid w:val="00073BB3"/>
    <w:rsid w:val="00077564"/>
    <w:rsid w:val="0008118A"/>
    <w:rsid w:val="00086327"/>
    <w:rsid w:val="000929A6"/>
    <w:rsid w:val="00092C96"/>
    <w:rsid w:val="00095FA1"/>
    <w:rsid w:val="000977AC"/>
    <w:rsid w:val="000A26E3"/>
    <w:rsid w:val="000A5152"/>
    <w:rsid w:val="000B266C"/>
    <w:rsid w:val="000B3902"/>
    <w:rsid w:val="000B4CFB"/>
    <w:rsid w:val="000B5015"/>
    <w:rsid w:val="000B788F"/>
    <w:rsid w:val="000B7C66"/>
    <w:rsid w:val="000C1AD5"/>
    <w:rsid w:val="000D09A8"/>
    <w:rsid w:val="000D2CDE"/>
    <w:rsid w:val="000D3247"/>
    <w:rsid w:val="000D4E36"/>
    <w:rsid w:val="000D7B3D"/>
    <w:rsid w:val="000E2BB8"/>
    <w:rsid w:val="000E5036"/>
    <w:rsid w:val="000E62FE"/>
    <w:rsid w:val="000F0B5E"/>
    <w:rsid w:val="000F1FDE"/>
    <w:rsid w:val="000F61A3"/>
    <w:rsid w:val="00104F77"/>
    <w:rsid w:val="00105B8A"/>
    <w:rsid w:val="00105D1E"/>
    <w:rsid w:val="00107C0D"/>
    <w:rsid w:val="001161E4"/>
    <w:rsid w:val="00117A17"/>
    <w:rsid w:val="00120ED3"/>
    <w:rsid w:val="00121786"/>
    <w:rsid w:val="0012319A"/>
    <w:rsid w:val="001233A7"/>
    <w:rsid w:val="00125A26"/>
    <w:rsid w:val="0013489D"/>
    <w:rsid w:val="001362D2"/>
    <w:rsid w:val="001421E0"/>
    <w:rsid w:val="001449C1"/>
    <w:rsid w:val="00145D24"/>
    <w:rsid w:val="001472A8"/>
    <w:rsid w:val="0015376F"/>
    <w:rsid w:val="001537BC"/>
    <w:rsid w:val="0015794C"/>
    <w:rsid w:val="001614E0"/>
    <w:rsid w:val="00165ADB"/>
    <w:rsid w:val="001672C8"/>
    <w:rsid w:val="0017186C"/>
    <w:rsid w:val="00171BD8"/>
    <w:rsid w:val="00172EC5"/>
    <w:rsid w:val="0017301B"/>
    <w:rsid w:val="0017653E"/>
    <w:rsid w:val="00177D7D"/>
    <w:rsid w:val="00182B01"/>
    <w:rsid w:val="001840D2"/>
    <w:rsid w:val="00186B23"/>
    <w:rsid w:val="00190727"/>
    <w:rsid w:val="00193391"/>
    <w:rsid w:val="001966BB"/>
    <w:rsid w:val="001966D7"/>
    <w:rsid w:val="001A297E"/>
    <w:rsid w:val="001A2991"/>
    <w:rsid w:val="001A2E27"/>
    <w:rsid w:val="001B49AC"/>
    <w:rsid w:val="001B6D50"/>
    <w:rsid w:val="001B7841"/>
    <w:rsid w:val="001C1513"/>
    <w:rsid w:val="001C2650"/>
    <w:rsid w:val="001C4D2E"/>
    <w:rsid w:val="001C773F"/>
    <w:rsid w:val="001C7E35"/>
    <w:rsid w:val="001D2649"/>
    <w:rsid w:val="001D2BC9"/>
    <w:rsid w:val="001D3638"/>
    <w:rsid w:val="001E08B4"/>
    <w:rsid w:val="001E0ECE"/>
    <w:rsid w:val="001E3C06"/>
    <w:rsid w:val="001E50F7"/>
    <w:rsid w:val="001F0037"/>
    <w:rsid w:val="001F0BE9"/>
    <w:rsid w:val="001F55A9"/>
    <w:rsid w:val="001F570E"/>
    <w:rsid w:val="00200951"/>
    <w:rsid w:val="00202D79"/>
    <w:rsid w:val="00204BFF"/>
    <w:rsid w:val="00205D2F"/>
    <w:rsid w:val="002116D3"/>
    <w:rsid w:val="00211D36"/>
    <w:rsid w:val="00213FE9"/>
    <w:rsid w:val="002154F4"/>
    <w:rsid w:val="00215E8F"/>
    <w:rsid w:val="00221A93"/>
    <w:rsid w:val="00227F5F"/>
    <w:rsid w:val="002322BB"/>
    <w:rsid w:val="002369E7"/>
    <w:rsid w:val="00244D2B"/>
    <w:rsid w:val="00247D10"/>
    <w:rsid w:val="0025115F"/>
    <w:rsid w:val="00251254"/>
    <w:rsid w:val="00251CEE"/>
    <w:rsid w:val="002548D1"/>
    <w:rsid w:val="00260D3F"/>
    <w:rsid w:val="002638D0"/>
    <w:rsid w:val="00266BAD"/>
    <w:rsid w:val="0026793E"/>
    <w:rsid w:val="00271D79"/>
    <w:rsid w:val="00271E3A"/>
    <w:rsid w:val="002723D8"/>
    <w:rsid w:val="0027283B"/>
    <w:rsid w:val="0027517C"/>
    <w:rsid w:val="0028019B"/>
    <w:rsid w:val="002812C4"/>
    <w:rsid w:val="00282E73"/>
    <w:rsid w:val="00283CAB"/>
    <w:rsid w:val="0028525A"/>
    <w:rsid w:val="002855FD"/>
    <w:rsid w:val="0028747F"/>
    <w:rsid w:val="0029391C"/>
    <w:rsid w:val="002972CB"/>
    <w:rsid w:val="002A3FEF"/>
    <w:rsid w:val="002A56D1"/>
    <w:rsid w:val="002A7643"/>
    <w:rsid w:val="002B54A6"/>
    <w:rsid w:val="002B585F"/>
    <w:rsid w:val="002B5889"/>
    <w:rsid w:val="002B70CD"/>
    <w:rsid w:val="002C3F83"/>
    <w:rsid w:val="002D41DD"/>
    <w:rsid w:val="002D4D4D"/>
    <w:rsid w:val="002E17D8"/>
    <w:rsid w:val="002E53CC"/>
    <w:rsid w:val="002F0CD7"/>
    <w:rsid w:val="002F1E2D"/>
    <w:rsid w:val="002F3EA0"/>
    <w:rsid w:val="002F3EE9"/>
    <w:rsid w:val="00301593"/>
    <w:rsid w:val="0030228C"/>
    <w:rsid w:val="003034EC"/>
    <w:rsid w:val="003062A8"/>
    <w:rsid w:val="003079D7"/>
    <w:rsid w:val="00307F76"/>
    <w:rsid w:val="00312E34"/>
    <w:rsid w:val="00313483"/>
    <w:rsid w:val="00315970"/>
    <w:rsid w:val="0031642B"/>
    <w:rsid w:val="003174D7"/>
    <w:rsid w:val="00317CEC"/>
    <w:rsid w:val="003206C6"/>
    <w:rsid w:val="00320DB6"/>
    <w:rsid w:val="00321211"/>
    <w:rsid w:val="00321E34"/>
    <w:rsid w:val="00321FBB"/>
    <w:rsid w:val="00322BCF"/>
    <w:rsid w:val="003231EC"/>
    <w:rsid w:val="003231F1"/>
    <w:rsid w:val="003234DA"/>
    <w:rsid w:val="00323802"/>
    <w:rsid w:val="0032474F"/>
    <w:rsid w:val="00325828"/>
    <w:rsid w:val="00326AF3"/>
    <w:rsid w:val="00327027"/>
    <w:rsid w:val="00330832"/>
    <w:rsid w:val="003313EA"/>
    <w:rsid w:val="00332B35"/>
    <w:rsid w:val="00333FAA"/>
    <w:rsid w:val="00334121"/>
    <w:rsid w:val="003355D7"/>
    <w:rsid w:val="0034037C"/>
    <w:rsid w:val="0034782D"/>
    <w:rsid w:val="0035085C"/>
    <w:rsid w:val="00355797"/>
    <w:rsid w:val="00357DD3"/>
    <w:rsid w:val="003617D2"/>
    <w:rsid w:val="0036201C"/>
    <w:rsid w:val="00362ECF"/>
    <w:rsid w:val="0036418C"/>
    <w:rsid w:val="0036559C"/>
    <w:rsid w:val="00366F00"/>
    <w:rsid w:val="00367B9C"/>
    <w:rsid w:val="00370C72"/>
    <w:rsid w:val="003724D8"/>
    <w:rsid w:val="003742AA"/>
    <w:rsid w:val="003757D6"/>
    <w:rsid w:val="00376768"/>
    <w:rsid w:val="00380F87"/>
    <w:rsid w:val="003818AB"/>
    <w:rsid w:val="00390AB1"/>
    <w:rsid w:val="0039184A"/>
    <w:rsid w:val="00396E7E"/>
    <w:rsid w:val="00397204"/>
    <w:rsid w:val="00397800"/>
    <w:rsid w:val="003A274A"/>
    <w:rsid w:val="003A42E0"/>
    <w:rsid w:val="003B142D"/>
    <w:rsid w:val="003B5946"/>
    <w:rsid w:val="003C270D"/>
    <w:rsid w:val="003C4046"/>
    <w:rsid w:val="003C4DE7"/>
    <w:rsid w:val="003C7575"/>
    <w:rsid w:val="003D0EA5"/>
    <w:rsid w:val="003D3022"/>
    <w:rsid w:val="003D475E"/>
    <w:rsid w:val="003E6221"/>
    <w:rsid w:val="003E69EB"/>
    <w:rsid w:val="003F065D"/>
    <w:rsid w:val="003F06BA"/>
    <w:rsid w:val="003F070A"/>
    <w:rsid w:val="003F1E62"/>
    <w:rsid w:val="003F1F5E"/>
    <w:rsid w:val="003F200F"/>
    <w:rsid w:val="003F2131"/>
    <w:rsid w:val="003F3AFD"/>
    <w:rsid w:val="0040219C"/>
    <w:rsid w:val="00405B32"/>
    <w:rsid w:val="004076C8"/>
    <w:rsid w:val="00413164"/>
    <w:rsid w:val="004202F6"/>
    <w:rsid w:val="004207E3"/>
    <w:rsid w:val="00420F3F"/>
    <w:rsid w:val="0042193E"/>
    <w:rsid w:val="00421A4C"/>
    <w:rsid w:val="00422F84"/>
    <w:rsid w:val="004238C2"/>
    <w:rsid w:val="00424411"/>
    <w:rsid w:val="004262FC"/>
    <w:rsid w:val="0043076E"/>
    <w:rsid w:val="00430947"/>
    <w:rsid w:val="00435B5D"/>
    <w:rsid w:val="004363F7"/>
    <w:rsid w:val="00437E95"/>
    <w:rsid w:val="0044374A"/>
    <w:rsid w:val="0044525C"/>
    <w:rsid w:val="0044609E"/>
    <w:rsid w:val="0044789B"/>
    <w:rsid w:val="00450F15"/>
    <w:rsid w:val="00452DEB"/>
    <w:rsid w:val="0045333D"/>
    <w:rsid w:val="004553F1"/>
    <w:rsid w:val="00456908"/>
    <w:rsid w:val="0046550C"/>
    <w:rsid w:val="00471C1F"/>
    <w:rsid w:val="004809FA"/>
    <w:rsid w:val="004826B1"/>
    <w:rsid w:val="00483250"/>
    <w:rsid w:val="004846EA"/>
    <w:rsid w:val="0048508F"/>
    <w:rsid w:val="004920FE"/>
    <w:rsid w:val="004930B7"/>
    <w:rsid w:val="00493790"/>
    <w:rsid w:val="00494DC2"/>
    <w:rsid w:val="00495696"/>
    <w:rsid w:val="004A09E8"/>
    <w:rsid w:val="004A2D80"/>
    <w:rsid w:val="004A4E0A"/>
    <w:rsid w:val="004A6648"/>
    <w:rsid w:val="004B21B4"/>
    <w:rsid w:val="004B363A"/>
    <w:rsid w:val="004B3783"/>
    <w:rsid w:val="004B50B5"/>
    <w:rsid w:val="004B66EB"/>
    <w:rsid w:val="004C2D09"/>
    <w:rsid w:val="004C4A75"/>
    <w:rsid w:val="004D17A2"/>
    <w:rsid w:val="004D1B41"/>
    <w:rsid w:val="004D2B15"/>
    <w:rsid w:val="004D2DA0"/>
    <w:rsid w:val="004D3DCA"/>
    <w:rsid w:val="004E06B4"/>
    <w:rsid w:val="004E14A4"/>
    <w:rsid w:val="004F19CC"/>
    <w:rsid w:val="004F2560"/>
    <w:rsid w:val="004F543D"/>
    <w:rsid w:val="004F54BD"/>
    <w:rsid w:val="004F56C5"/>
    <w:rsid w:val="004F7178"/>
    <w:rsid w:val="0050187C"/>
    <w:rsid w:val="0050302C"/>
    <w:rsid w:val="00503345"/>
    <w:rsid w:val="005036CB"/>
    <w:rsid w:val="00505460"/>
    <w:rsid w:val="00506185"/>
    <w:rsid w:val="00507808"/>
    <w:rsid w:val="00510583"/>
    <w:rsid w:val="005158EC"/>
    <w:rsid w:val="005236B9"/>
    <w:rsid w:val="00524D4F"/>
    <w:rsid w:val="00527AA1"/>
    <w:rsid w:val="00530B1F"/>
    <w:rsid w:val="0053385B"/>
    <w:rsid w:val="005354D0"/>
    <w:rsid w:val="0054172C"/>
    <w:rsid w:val="00542731"/>
    <w:rsid w:val="00543E11"/>
    <w:rsid w:val="0054590F"/>
    <w:rsid w:val="005459EC"/>
    <w:rsid w:val="00553891"/>
    <w:rsid w:val="005557BB"/>
    <w:rsid w:val="00555E36"/>
    <w:rsid w:val="00556530"/>
    <w:rsid w:val="005577A1"/>
    <w:rsid w:val="00561055"/>
    <w:rsid w:val="00563206"/>
    <w:rsid w:val="00563EA4"/>
    <w:rsid w:val="005718B5"/>
    <w:rsid w:val="0057620E"/>
    <w:rsid w:val="005808FB"/>
    <w:rsid w:val="005811F8"/>
    <w:rsid w:val="00582605"/>
    <w:rsid w:val="005848BA"/>
    <w:rsid w:val="0058501F"/>
    <w:rsid w:val="00591016"/>
    <w:rsid w:val="005A754C"/>
    <w:rsid w:val="005B3F67"/>
    <w:rsid w:val="005B43A5"/>
    <w:rsid w:val="005B4D42"/>
    <w:rsid w:val="005B5B59"/>
    <w:rsid w:val="005C26A3"/>
    <w:rsid w:val="005C4D39"/>
    <w:rsid w:val="005C4FDD"/>
    <w:rsid w:val="005C5B59"/>
    <w:rsid w:val="005D2436"/>
    <w:rsid w:val="005D2B4A"/>
    <w:rsid w:val="005D515E"/>
    <w:rsid w:val="005D548F"/>
    <w:rsid w:val="005D5F7A"/>
    <w:rsid w:val="005D6EF5"/>
    <w:rsid w:val="005E1C03"/>
    <w:rsid w:val="005E2593"/>
    <w:rsid w:val="005E34B1"/>
    <w:rsid w:val="005E3A10"/>
    <w:rsid w:val="005E50FC"/>
    <w:rsid w:val="005E6240"/>
    <w:rsid w:val="005E7509"/>
    <w:rsid w:val="005F1225"/>
    <w:rsid w:val="005F5931"/>
    <w:rsid w:val="00601D7F"/>
    <w:rsid w:val="00603890"/>
    <w:rsid w:val="00603D3D"/>
    <w:rsid w:val="00605A4C"/>
    <w:rsid w:val="006066AB"/>
    <w:rsid w:val="00613F21"/>
    <w:rsid w:val="00614B16"/>
    <w:rsid w:val="00617DD7"/>
    <w:rsid w:val="00617DE7"/>
    <w:rsid w:val="00621889"/>
    <w:rsid w:val="00624524"/>
    <w:rsid w:val="00625DEC"/>
    <w:rsid w:val="006262B8"/>
    <w:rsid w:val="0063367C"/>
    <w:rsid w:val="00635C9C"/>
    <w:rsid w:val="00636EA0"/>
    <w:rsid w:val="0063754B"/>
    <w:rsid w:val="00642EDA"/>
    <w:rsid w:val="0064526B"/>
    <w:rsid w:val="00645B8B"/>
    <w:rsid w:val="00646859"/>
    <w:rsid w:val="00647F58"/>
    <w:rsid w:val="0065288A"/>
    <w:rsid w:val="00653FE4"/>
    <w:rsid w:val="00655044"/>
    <w:rsid w:val="00655A73"/>
    <w:rsid w:val="00661519"/>
    <w:rsid w:val="006617DD"/>
    <w:rsid w:val="006645D0"/>
    <w:rsid w:val="00666922"/>
    <w:rsid w:val="00670F17"/>
    <w:rsid w:val="006710C7"/>
    <w:rsid w:val="00673614"/>
    <w:rsid w:val="00676459"/>
    <w:rsid w:val="006768BA"/>
    <w:rsid w:val="0067764D"/>
    <w:rsid w:val="00677B6B"/>
    <w:rsid w:val="0068044B"/>
    <w:rsid w:val="00682964"/>
    <w:rsid w:val="00683EA8"/>
    <w:rsid w:val="006869FE"/>
    <w:rsid w:val="00691DC9"/>
    <w:rsid w:val="00693B7D"/>
    <w:rsid w:val="006947C8"/>
    <w:rsid w:val="00696A83"/>
    <w:rsid w:val="006A0CA2"/>
    <w:rsid w:val="006A2986"/>
    <w:rsid w:val="006A3106"/>
    <w:rsid w:val="006B2371"/>
    <w:rsid w:val="006B6A28"/>
    <w:rsid w:val="006C2E27"/>
    <w:rsid w:val="006C4276"/>
    <w:rsid w:val="006C580A"/>
    <w:rsid w:val="006C667E"/>
    <w:rsid w:val="006D0EBA"/>
    <w:rsid w:val="006D1224"/>
    <w:rsid w:val="006D1E69"/>
    <w:rsid w:val="006D376F"/>
    <w:rsid w:val="006D4B1F"/>
    <w:rsid w:val="006D7064"/>
    <w:rsid w:val="006D783F"/>
    <w:rsid w:val="006E1BEF"/>
    <w:rsid w:val="006E3404"/>
    <w:rsid w:val="006F057C"/>
    <w:rsid w:val="006F22DA"/>
    <w:rsid w:val="006F2EB3"/>
    <w:rsid w:val="006F5068"/>
    <w:rsid w:val="006F689A"/>
    <w:rsid w:val="007058E2"/>
    <w:rsid w:val="00705D9A"/>
    <w:rsid w:val="00706E6F"/>
    <w:rsid w:val="007116B1"/>
    <w:rsid w:val="00713666"/>
    <w:rsid w:val="00713C7D"/>
    <w:rsid w:val="00714BEE"/>
    <w:rsid w:val="00716243"/>
    <w:rsid w:val="00721215"/>
    <w:rsid w:val="00723FFB"/>
    <w:rsid w:val="00731C23"/>
    <w:rsid w:val="0073340D"/>
    <w:rsid w:val="00733FBB"/>
    <w:rsid w:val="007400CF"/>
    <w:rsid w:val="007427C9"/>
    <w:rsid w:val="00745AB8"/>
    <w:rsid w:val="0074760A"/>
    <w:rsid w:val="00752EF7"/>
    <w:rsid w:val="00757D4C"/>
    <w:rsid w:val="00766B05"/>
    <w:rsid w:val="00772557"/>
    <w:rsid w:val="007853D9"/>
    <w:rsid w:val="007860D4"/>
    <w:rsid w:val="00793661"/>
    <w:rsid w:val="007A0B0B"/>
    <w:rsid w:val="007A43B0"/>
    <w:rsid w:val="007B23FC"/>
    <w:rsid w:val="007B3BB8"/>
    <w:rsid w:val="007B3BF9"/>
    <w:rsid w:val="007B5A57"/>
    <w:rsid w:val="007B6365"/>
    <w:rsid w:val="007B7EE9"/>
    <w:rsid w:val="007C1CF1"/>
    <w:rsid w:val="007C4835"/>
    <w:rsid w:val="007C5021"/>
    <w:rsid w:val="007C526A"/>
    <w:rsid w:val="007C5957"/>
    <w:rsid w:val="007C6A24"/>
    <w:rsid w:val="007C6DC5"/>
    <w:rsid w:val="007C7273"/>
    <w:rsid w:val="007D0C1D"/>
    <w:rsid w:val="007D0E50"/>
    <w:rsid w:val="007D2000"/>
    <w:rsid w:val="007D4DBF"/>
    <w:rsid w:val="007D790F"/>
    <w:rsid w:val="007E1765"/>
    <w:rsid w:val="007E4732"/>
    <w:rsid w:val="007E4BA4"/>
    <w:rsid w:val="007E5FB8"/>
    <w:rsid w:val="007F004E"/>
    <w:rsid w:val="007F2E82"/>
    <w:rsid w:val="007F335A"/>
    <w:rsid w:val="007F3994"/>
    <w:rsid w:val="007F49F8"/>
    <w:rsid w:val="00803104"/>
    <w:rsid w:val="00805689"/>
    <w:rsid w:val="00806AB9"/>
    <w:rsid w:val="00810B3E"/>
    <w:rsid w:val="00810D76"/>
    <w:rsid w:val="00812901"/>
    <w:rsid w:val="0081311C"/>
    <w:rsid w:val="00813823"/>
    <w:rsid w:val="00813AFA"/>
    <w:rsid w:val="00814362"/>
    <w:rsid w:val="0082314E"/>
    <w:rsid w:val="00824033"/>
    <w:rsid w:val="00826B9A"/>
    <w:rsid w:val="00830E95"/>
    <w:rsid w:val="00831038"/>
    <w:rsid w:val="008316FE"/>
    <w:rsid w:val="00831CBB"/>
    <w:rsid w:val="00832489"/>
    <w:rsid w:val="0083582B"/>
    <w:rsid w:val="0083646E"/>
    <w:rsid w:val="00842757"/>
    <w:rsid w:val="00843173"/>
    <w:rsid w:val="00843CC2"/>
    <w:rsid w:val="008440E7"/>
    <w:rsid w:val="008452DC"/>
    <w:rsid w:val="0084703D"/>
    <w:rsid w:val="00847EE7"/>
    <w:rsid w:val="008520F7"/>
    <w:rsid w:val="0085266D"/>
    <w:rsid w:val="00856932"/>
    <w:rsid w:val="00857BED"/>
    <w:rsid w:val="008612A2"/>
    <w:rsid w:val="00863358"/>
    <w:rsid w:val="008701B0"/>
    <w:rsid w:val="00877AAA"/>
    <w:rsid w:val="0089344D"/>
    <w:rsid w:val="00895881"/>
    <w:rsid w:val="008A3FB3"/>
    <w:rsid w:val="008A4978"/>
    <w:rsid w:val="008A4A2D"/>
    <w:rsid w:val="008A5A25"/>
    <w:rsid w:val="008A5AA0"/>
    <w:rsid w:val="008A61A9"/>
    <w:rsid w:val="008B3E36"/>
    <w:rsid w:val="008B4EE0"/>
    <w:rsid w:val="008B7D17"/>
    <w:rsid w:val="008C3271"/>
    <w:rsid w:val="008C7074"/>
    <w:rsid w:val="008D326E"/>
    <w:rsid w:val="008E126D"/>
    <w:rsid w:val="008E224D"/>
    <w:rsid w:val="008E38DD"/>
    <w:rsid w:val="008F3972"/>
    <w:rsid w:val="008F4BF5"/>
    <w:rsid w:val="008F5971"/>
    <w:rsid w:val="009003F9"/>
    <w:rsid w:val="00910AA6"/>
    <w:rsid w:val="009135F6"/>
    <w:rsid w:val="009146FA"/>
    <w:rsid w:val="00914B65"/>
    <w:rsid w:val="009163EA"/>
    <w:rsid w:val="00916EB5"/>
    <w:rsid w:val="00920DD0"/>
    <w:rsid w:val="00923607"/>
    <w:rsid w:val="00924A7B"/>
    <w:rsid w:val="0092530B"/>
    <w:rsid w:val="00925B82"/>
    <w:rsid w:val="00926B12"/>
    <w:rsid w:val="00927401"/>
    <w:rsid w:val="00932233"/>
    <w:rsid w:val="009341A6"/>
    <w:rsid w:val="0094208C"/>
    <w:rsid w:val="00942F17"/>
    <w:rsid w:val="00943236"/>
    <w:rsid w:val="00943BB2"/>
    <w:rsid w:val="00944F76"/>
    <w:rsid w:val="00946C32"/>
    <w:rsid w:val="0094716E"/>
    <w:rsid w:val="00947435"/>
    <w:rsid w:val="00951997"/>
    <w:rsid w:val="00952CEF"/>
    <w:rsid w:val="0095483A"/>
    <w:rsid w:val="009549E3"/>
    <w:rsid w:val="00955421"/>
    <w:rsid w:val="00956A8E"/>
    <w:rsid w:val="00957B78"/>
    <w:rsid w:val="00963CEC"/>
    <w:rsid w:val="00965641"/>
    <w:rsid w:val="009657D6"/>
    <w:rsid w:val="009740A4"/>
    <w:rsid w:val="00975A17"/>
    <w:rsid w:val="00987FAD"/>
    <w:rsid w:val="009903BD"/>
    <w:rsid w:val="00990E9C"/>
    <w:rsid w:val="0099185D"/>
    <w:rsid w:val="00994542"/>
    <w:rsid w:val="00994908"/>
    <w:rsid w:val="009A2CF9"/>
    <w:rsid w:val="009A2E64"/>
    <w:rsid w:val="009A7366"/>
    <w:rsid w:val="009B160B"/>
    <w:rsid w:val="009B68AA"/>
    <w:rsid w:val="009C0F1F"/>
    <w:rsid w:val="009C237B"/>
    <w:rsid w:val="009C4C6B"/>
    <w:rsid w:val="009C4DD1"/>
    <w:rsid w:val="009C7DA0"/>
    <w:rsid w:val="009D0304"/>
    <w:rsid w:val="009D3842"/>
    <w:rsid w:val="009D4A98"/>
    <w:rsid w:val="009E558D"/>
    <w:rsid w:val="009E5A93"/>
    <w:rsid w:val="009F3154"/>
    <w:rsid w:val="00A03276"/>
    <w:rsid w:val="00A06351"/>
    <w:rsid w:val="00A075AE"/>
    <w:rsid w:val="00A1211C"/>
    <w:rsid w:val="00A1379B"/>
    <w:rsid w:val="00A174EA"/>
    <w:rsid w:val="00A20113"/>
    <w:rsid w:val="00A20D78"/>
    <w:rsid w:val="00A21942"/>
    <w:rsid w:val="00A2215F"/>
    <w:rsid w:val="00A22839"/>
    <w:rsid w:val="00A23E19"/>
    <w:rsid w:val="00A24C73"/>
    <w:rsid w:val="00A24F32"/>
    <w:rsid w:val="00A253E4"/>
    <w:rsid w:val="00A266AD"/>
    <w:rsid w:val="00A32EAF"/>
    <w:rsid w:val="00A33185"/>
    <w:rsid w:val="00A369B9"/>
    <w:rsid w:val="00A3702A"/>
    <w:rsid w:val="00A500F3"/>
    <w:rsid w:val="00A5234A"/>
    <w:rsid w:val="00A53B04"/>
    <w:rsid w:val="00A5694A"/>
    <w:rsid w:val="00A61183"/>
    <w:rsid w:val="00A62499"/>
    <w:rsid w:val="00A652B7"/>
    <w:rsid w:val="00A661B6"/>
    <w:rsid w:val="00A661F4"/>
    <w:rsid w:val="00A66326"/>
    <w:rsid w:val="00A67D81"/>
    <w:rsid w:val="00A70E43"/>
    <w:rsid w:val="00A7271A"/>
    <w:rsid w:val="00A74D79"/>
    <w:rsid w:val="00A81E19"/>
    <w:rsid w:val="00A85CE7"/>
    <w:rsid w:val="00A9121B"/>
    <w:rsid w:val="00A91FE8"/>
    <w:rsid w:val="00A941E3"/>
    <w:rsid w:val="00A9723B"/>
    <w:rsid w:val="00AA4182"/>
    <w:rsid w:val="00AB1085"/>
    <w:rsid w:val="00AB49CE"/>
    <w:rsid w:val="00AB795F"/>
    <w:rsid w:val="00AC1DB2"/>
    <w:rsid w:val="00AC6312"/>
    <w:rsid w:val="00AC68C4"/>
    <w:rsid w:val="00AC693C"/>
    <w:rsid w:val="00AD093E"/>
    <w:rsid w:val="00AD1036"/>
    <w:rsid w:val="00AD1E77"/>
    <w:rsid w:val="00AD6D80"/>
    <w:rsid w:val="00AE0047"/>
    <w:rsid w:val="00AE3352"/>
    <w:rsid w:val="00AF267D"/>
    <w:rsid w:val="00AF5E38"/>
    <w:rsid w:val="00AF6862"/>
    <w:rsid w:val="00B03B08"/>
    <w:rsid w:val="00B04074"/>
    <w:rsid w:val="00B04BD6"/>
    <w:rsid w:val="00B1160D"/>
    <w:rsid w:val="00B139FB"/>
    <w:rsid w:val="00B1623B"/>
    <w:rsid w:val="00B2239B"/>
    <w:rsid w:val="00B35D62"/>
    <w:rsid w:val="00B363B2"/>
    <w:rsid w:val="00B371C4"/>
    <w:rsid w:val="00B41D6E"/>
    <w:rsid w:val="00B444E6"/>
    <w:rsid w:val="00B5061F"/>
    <w:rsid w:val="00B50938"/>
    <w:rsid w:val="00B50C87"/>
    <w:rsid w:val="00B52011"/>
    <w:rsid w:val="00B5270B"/>
    <w:rsid w:val="00B5323E"/>
    <w:rsid w:val="00B53EFF"/>
    <w:rsid w:val="00B54AFA"/>
    <w:rsid w:val="00B56A5B"/>
    <w:rsid w:val="00B64F31"/>
    <w:rsid w:val="00B671A4"/>
    <w:rsid w:val="00B70BD7"/>
    <w:rsid w:val="00B74C8C"/>
    <w:rsid w:val="00B804E8"/>
    <w:rsid w:val="00B83451"/>
    <w:rsid w:val="00B8354B"/>
    <w:rsid w:val="00B8780C"/>
    <w:rsid w:val="00B9403A"/>
    <w:rsid w:val="00B958AD"/>
    <w:rsid w:val="00B9638F"/>
    <w:rsid w:val="00B97084"/>
    <w:rsid w:val="00BA7900"/>
    <w:rsid w:val="00BB0962"/>
    <w:rsid w:val="00BB0EE3"/>
    <w:rsid w:val="00BB5032"/>
    <w:rsid w:val="00BB52A9"/>
    <w:rsid w:val="00BB5CB6"/>
    <w:rsid w:val="00BB6A77"/>
    <w:rsid w:val="00BB6B50"/>
    <w:rsid w:val="00BC206C"/>
    <w:rsid w:val="00BC213B"/>
    <w:rsid w:val="00BC2D1D"/>
    <w:rsid w:val="00BC3EDF"/>
    <w:rsid w:val="00BC431A"/>
    <w:rsid w:val="00BC6B77"/>
    <w:rsid w:val="00BD008E"/>
    <w:rsid w:val="00BD5885"/>
    <w:rsid w:val="00BD5D93"/>
    <w:rsid w:val="00BD6361"/>
    <w:rsid w:val="00BE05D0"/>
    <w:rsid w:val="00BE14BD"/>
    <w:rsid w:val="00BE1E27"/>
    <w:rsid w:val="00BE31E8"/>
    <w:rsid w:val="00BF5AFA"/>
    <w:rsid w:val="00BF62C3"/>
    <w:rsid w:val="00BF6C45"/>
    <w:rsid w:val="00C01A35"/>
    <w:rsid w:val="00C01C60"/>
    <w:rsid w:val="00C03772"/>
    <w:rsid w:val="00C04EDA"/>
    <w:rsid w:val="00C119A2"/>
    <w:rsid w:val="00C1280C"/>
    <w:rsid w:val="00C212F8"/>
    <w:rsid w:val="00C23D00"/>
    <w:rsid w:val="00C2666A"/>
    <w:rsid w:val="00C32735"/>
    <w:rsid w:val="00C3312E"/>
    <w:rsid w:val="00C33CFD"/>
    <w:rsid w:val="00C34FB7"/>
    <w:rsid w:val="00C3670F"/>
    <w:rsid w:val="00C414EE"/>
    <w:rsid w:val="00C41623"/>
    <w:rsid w:val="00C43B54"/>
    <w:rsid w:val="00C46294"/>
    <w:rsid w:val="00C50745"/>
    <w:rsid w:val="00C5077B"/>
    <w:rsid w:val="00C53F1A"/>
    <w:rsid w:val="00C565C6"/>
    <w:rsid w:val="00C57267"/>
    <w:rsid w:val="00C60088"/>
    <w:rsid w:val="00C616FF"/>
    <w:rsid w:val="00C61FF5"/>
    <w:rsid w:val="00C62B63"/>
    <w:rsid w:val="00C63C2D"/>
    <w:rsid w:val="00C703A6"/>
    <w:rsid w:val="00C70564"/>
    <w:rsid w:val="00C706C1"/>
    <w:rsid w:val="00C72B5B"/>
    <w:rsid w:val="00C76036"/>
    <w:rsid w:val="00C76F1B"/>
    <w:rsid w:val="00C770B8"/>
    <w:rsid w:val="00C7720D"/>
    <w:rsid w:val="00C802EF"/>
    <w:rsid w:val="00C82BFC"/>
    <w:rsid w:val="00C869F3"/>
    <w:rsid w:val="00CA7800"/>
    <w:rsid w:val="00CA7F6D"/>
    <w:rsid w:val="00CC18AC"/>
    <w:rsid w:val="00CC5229"/>
    <w:rsid w:val="00CC7357"/>
    <w:rsid w:val="00CD3264"/>
    <w:rsid w:val="00CD3671"/>
    <w:rsid w:val="00CD4626"/>
    <w:rsid w:val="00CD46A7"/>
    <w:rsid w:val="00CD6506"/>
    <w:rsid w:val="00CD7D5D"/>
    <w:rsid w:val="00CD7EB4"/>
    <w:rsid w:val="00CE318E"/>
    <w:rsid w:val="00CE3D3E"/>
    <w:rsid w:val="00CF0621"/>
    <w:rsid w:val="00CF0D6A"/>
    <w:rsid w:val="00CF0FC4"/>
    <w:rsid w:val="00CF14AC"/>
    <w:rsid w:val="00CF3828"/>
    <w:rsid w:val="00CF4179"/>
    <w:rsid w:val="00CF6932"/>
    <w:rsid w:val="00CF7ADE"/>
    <w:rsid w:val="00D01FE3"/>
    <w:rsid w:val="00D0381E"/>
    <w:rsid w:val="00D06CA3"/>
    <w:rsid w:val="00D07183"/>
    <w:rsid w:val="00D07C06"/>
    <w:rsid w:val="00D07F46"/>
    <w:rsid w:val="00D10D46"/>
    <w:rsid w:val="00D14807"/>
    <w:rsid w:val="00D170E5"/>
    <w:rsid w:val="00D202BC"/>
    <w:rsid w:val="00D227DD"/>
    <w:rsid w:val="00D276FD"/>
    <w:rsid w:val="00D33D1E"/>
    <w:rsid w:val="00D3628F"/>
    <w:rsid w:val="00D3660C"/>
    <w:rsid w:val="00D37F2F"/>
    <w:rsid w:val="00D415B9"/>
    <w:rsid w:val="00D46E06"/>
    <w:rsid w:val="00D51A13"/>
    <w:rsid w:val="00D528E8"/>
    <w:rsid w:val="00D5467A"/>
    <w:rsid w:val="00D618C0"/>
    <w:rsid w:val="00D63BDA"/>
    <w:rsid w:val="00D723F6"/>
    <w:rsid w:val="00D743DF"/>
    <w:rsid w:val="00D763A2"/>
    <w:rsid w:val="00D76A59"/>
    <w:rsid w:val="00D771D0"/>
    <w:rsid w:val="00D80713"/>
    <w:rsid w:val="00D831A1"/>
    <w:rsid w:val="00D835CF"/>
    <w:rsid w:val="00D83807"/>
    <w:rsid w:val="00D8407A"/>
    <w:rsid w:val="00D86B5A"/>
    <w:rsid w:val="00D915D7"/>
    <w:rsid w:val="00D96FE3"/>
    <w:rsid w:val="00D978A4"/>
    <w:rsid w:val="00DA0569"/>
    <w:rsid w:val="00DA176F"/>
    <w:rsid w:val="00DA20AC"/>
    <w:rsid w:val="00DA26FB"/>
    <w:rsid w:val="00DA36BE"/>
    <w:rsid w:val="00DA4BEF"/>
    <w:rsid w:val="00DA53BB"/>
    <w:rsid w:val="00DA6451"/>
    <w:rsid w:val="00DA693B"/>
    <w:rsid w:val="00DB2BA3"/>
    <w:rsid w:val="00DB4038"/>
    <w:rsid w:val="00DB6C3D"/>
    <w:rsid w:val="00DC5ACF"/>
    <w:rsid w:val="00DD313F"/>
    <w:rsid w:val="00DD3573"/>
    <w:rsid w:val="00DD4AA9"/>
    <w:rsid w:val="00DD7468"/>
    <w:rsid w:val="00DE25E9"/>
    <w:rsid w:val="00DE3FFF"/>
    <w:rsid w:val="00DE40B1"/>
    <w:rsid w:val="00DE493C"/>
    <w:rsid w:val="00DE71D3"/>
    <w:rsid w:val="00DE72CF"/>
    <w:rsid w:val="00DE7C32"/>
    <w:rsid w:val="00DF08A0"/>
    <w:rsid w:val="00DF2C12"/>
    <w:rsid w:val="00DF5E43"/>
    <w:rsid w:val="00E02B78"/>
    <w:rsid w:val="00E06B0D"/>
    <w:rsid w:val="00E071E8"/>
    <w:rsid w:val="00E07E5C"/>
    <w:rsid w:val="00E13BEF"/>
    <w:rsid w:val="00E21DE8"/>
    <w:rsid w:val="00E25A99"/>
    <w:rsid w:val="00E260E3"/>
    <w:rsid w:val="00E309DC"/>
    <w:rsid w:val="00E316D4"/>
    <w:rsid w:val="00E32BE1"/>
    <w:rsid w:val="00E3380D"/>
    <w:rsid w:val="00E36703"/>
    <w:rsid w:val="00E40AC2"/>
    <w:rsid w:val="00E4195C"/>
    <w:rsid w:val="00E42272"/>
    <w:rsid w:val="00E43EBB"/>
    <w:rsid w:val="00E450B7"/>
    <w:rsid w:val="00E518F5"/>
    <w:rsid w:val="00E55D6A"/>
    <w:rsid w:val="00E70760"/>
    <w:rsid w:val="00E7099A"/>
    <w:rsid w:val="00E76F98"/>
    <w:rsid w:val="00E85D11"/>
    <w:rsid w:val="00E9253C"/>
    <w:rsid w:val="00EA0679"/>
    <w:rsid w:val="00EA242A"/>
    <w:rsid w:val="00EA33BB"/>
    <w:rsid w:val="00EA626B"/>
    <w:rsid w:val="00EB04E7"/>
    <w:rsid w:val="00EB19A3"/>
    <w:rsid w:val="00EB31D7"/>
    <w:rsid w:val="00EB3CF0"/>
    <w:rsid w:val="00EB45B5"/>
    <w:rsid w:val="00EB5E57"/>
    <w:rsid w:val="00EB61DB"/>
    <w:rsid w:val="00EB7082"/>
    <w:rsid w:val="00EB7D70"/>
    <w:rsid w:val="00ED08E9"/>
    <w:rsid w:val="00ED1277"/>
    <w:rsid w:val="00ED1AD0"/>
    <w:rsid w:val="00ED4519"/>
    <w:rsid w:val="00ED4AFD"/>
    <w:rsid w:val="00ED6776"/>
    <w:rsid w:val="00EE2B49"/>
    <w:rsid w:val="00EE4246"/>
    <w:rsid w:val="00EE4FBE"/>
    <w:rsid w:val="00EF492F"/>
    <w:rsid w:val="00EF4C38"/>
    <w:rsid w:val="00EF52CA"/>
    <w:rsid w:val="00F038A1"/>
    <w:rsid w:val="00F06E4E"/>
    <w:rsid w:val="00F108FE"/>
    <w:rsid w:val="00F11C60"/>
    <w:rsid w:val="00F218DA"/>
    <w:rsid w:val="00F2241D"/>
    <w:rsid w:val="00F238E0"/>
    <w:rsid w:val="00F2409A"/>
    <w:rsid w:val="00F25F28"/>
    <w:rsid w:val="00F3003F"/>
    <w:rsid w:val="00F31BBF"/>
    <w:rsid w:val="00F31D63"/>
    <w:rsid w:val="00F35CFD"/>
    <w:rsid w:val="00F40A4B"/>
    <w:rsid w:val="00F41465"/>
    <w:rsid w:val="00F46ACB"/>
    <w:rsid w:val="00F47D58"/>
    <w:rsid w:val="00F51E01"/>
    <w:rsid w:val="00F5261F"/>
    <w:rsid w:val="00F55EB9"/>
    <w:rsid w:val="00F5649A"/>
    <w:rsid w:val="00F60A7E"/>
    <w:rsid w:val="00F67DC5"/>
    <w:rsid w:val="00F77103"/>
    <w:rsid w:val="00F80256"/>
    <w:rsid w:val="00F8045A"/>
    <w:rsid w:val="00F82342"/>
    <w:rsid w:val="00F82D3A"/>
    <w:rsid w:val="00F836F2"/>
    <w:rsid w:val="00F86696"/>
    <w:rsid w:val="00F877DB"/>
    <w:rsid w:val="00F91AE4"/>
    <w:rsid w:val="00F93C8B"/>
    <w:rsid w:val="00F959DD"/>
    <w:rsid w:val="00F960D5"/>
    <w:rsid w:val="00F966D4"/>
    <w:rsid w:val="00F96F61"/>
    <w:rsid w:val="00F973A6"/>
    <w:rsid w:val="00F97CF8"/>
    <w:rsid w:val="00FA2795"/>
    <w:rsid w:val="00FA313F"/>
    <w:rsid w:val="00FA3646"/>
    <w:rsid w:val="00FA5B9F"/>
    <w:rsid w:val="00FA5E05"/>
    <w:rsid w:val="00FB03B4"/>
    <w:rsid w:val="00FB10E5"/>
    <w:rsid w:val="00FB1231"/>
    <w:rsid w:val="00FB3342"/>
    <w:rsid w:val="00FC005E"/>
    <w:rsid w:val="00FC1A79"/>
    <w:rsid w:val="00FC1C5C"/>
    <w:rsid w:val="00FC23F1"/>
    <w:rsid w:val="00FD4FED"/>
    <w:rsid w:val="00FE17E2"/>
    <w:rsid w:val="00FE4675"/>
    <w:rsid w:val="00FF436D"/>
    <w:rsid w:val="00FF651C"/>
    <w:rsid w:val="00FF6B69"/>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CharChar1">
    <w:name w:val="Char Char1"/>
    <w:basedOn w:val="Normal"/>
    <w:rsid w:val="006D4B1F"/>
    <w:pPr>
      <w:spacing w:after="160" w:line="240" w:lineRule="exact"/>
    </w:pPr>
    <w:rPr>
      <w:rFonts w:ascii="Verdana" w:hAnsi="Verdana"/>
      <w:sz w:val="20"/>
      <w:lang w:val="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4F543D"/>
    <w:rPr>
      <w:rFonts w:ascii="Arial" w:hAnsi="Arial"/>
      <w:sz w:val="24"/>
      <w:lang w:eastAsia="en-US"/>
    </w:rPr>
  </w:style>
  <w:style w:type="character" w:styleId="CommentReference">
    <w:name w:val="annotation reference"/>
    <w:basedOn w:val="DefaultParagraphFont"/>
    <w:semiHidden/>
    <w:unhideWhenUsed/>
    <w:rsid w:val="001C773F"/>
    <w:rPr>
      <w:sz w:val="16"/>
      <w:szCs w:val="16"/>
    </w:rPr>
  </w:style>
  <w:style w:type="paragraph" w:styleId="CommentText">
    <w:name w:val="annotation text"/>
    <w:basedOn w:val="Normal"/>
    <w:link w:val="CommentTextChar"/>
    <w:unhideWhenUsed/>
    <w:rsid w:val="001C773F"/>
    <w:rPr>
      <w:sz w:val="20"/>
    </w:rPr>
  </w:style>
  <w:style w:type="character" w:customStyle="1" w:styleId="CommentTextChar">
    <w:name w:val="Comment Text Char"/>
    <w:basedOn w:val="DefaultParagraphFont"/>
    <w:link w:val="CommentText"/>
    <w:rsid w:val="001C773F"/>
    <w:rPr>
      <w:rFonts w:ascii="Arial" w:hAnsi="Arial"/>
      <w:lang w:eastAsia="en-US"/>
    </w:rPr>
  </w:style>
  <w:style w:type="paragraph" w:styleId="CommentSubject">
    <w:name w:val="annotation subject"/>
    <w:basedOn w:val="CommentText"/>
    <w:next w:val="CommentText"/>
    <w:link w:val="CommentSubjectChar"/>
    <w:semiHidden/>
    <w:unhideWhenUsed/>
    <w:rsid w:val="001C773F"/>
    <w:rPr>
      <w:b/>
      <w:bCs/>
    </w:rPr>
  </w:style>
  <w:style w:type="character" w:customStyle="1" w:styleId="CommentSubjectChar">
    <w:name w:val="Comment Subject Char"/>
    <w:basedOn w:val="CommentTextChar"/>
    <w:link w:val="CommentSubject"/>
    <w:semiHidden/>
    <w:rsid w:val="001C773F"/>
    <w:rPr>
      <w:rFonts w:ascii="Arial" w:hAnsi="Arial"/>
      <w:b/>
      <w:bCs/>
      <w:lang w:eastAsia="en-US"/>
    </w:rPr>
  </w:style>
  <w:style w:type="paragraph" w:customStyle="1" w:styleId="Default">
    <w:name w:val="Default"/>
    <w:rsid w:val="00F108FE"/>
    <w:pPr>
      <w:autoSpaceDE w:val="0"/>
      <w:autoSpaceDN w:val="0"/>
      <w:adjustRightInd w:val="0"/>
    </w:pPr>
    <w:rPr>
      <w:rFonts w:ascii="Arial MT Std Light" w:eastAsia="Calibri" w:hAnsi="Arial MT Std Light" w:cs="Arial MT Std Light"/>
      <w:color w:val="000000"/>
      <w:sz w:val="24"/>
      <w:szCs w:val="24"/>
    </w:rPr>
  </w:style>
  <w:style w:type="character" w:customStyle="1" w:styleId="A7">
    <w:name w:val="A7"/>
    <w:uiPriority w:val="99"/>
    <w:rsid w:val="00653FE4"/>
    <w:rPr>
      <w:rFonts w:cs="Arial MT Std Light"/>
      <w:color w:val="000000"/>
      <w:sz w:val="22"/>
      <w:szCs w:val="22"/>
    </w:rPr>
  </w:style>
  <w:style w:type="paragraph" w:customStyle="1" w:styleId="gem-c-lead-paragraph">
    <w:name w:val="gem-c-lead-paragraph"/>
    <w:basedOn w:val="Normal"/>
    <w:rsid w:val="00430947"/>
    <w:pPr>
      <w:spacing w:before="100" w:beforeAutospacing="1" w:after="100" w:afterAutospacing="1"/>
    </w:pPr>
    <w:rPr>
      <w:rFonts w:ascii="Times New Roman" w:hAnsi="Times New Roman"/>
      <w:szCs w:val="24"/>
      <w:lang w:eastAsia="en-GB"/>
    </w:rPr>
  </w:style>
  <w:style w:type="character" w:customStyle="1" w:styleId="Heading3Char">
    <w:name w:val="Heading 3 Char"/>
    <w:basedOn w:val="DefaultParagraphFont"/>
    <w:link w:val="Heading3"/>
    <w:rsid w:val="00723FFB"/>
    <w:rPr>
      <w:rFonts w:ascii="Arial" w:hAnsi="Arial"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5477">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45910153">
      <w:bodyDiv w:val="1"/>
      <w:marLeft w:val="0"/>
      <w:marRight w:val="0"/>
      <w:marTop w:val="0"/>
      <w:marBottom w:val="0"/>
      <w:divBdr>
        <w:top w:val="none" w:sz="0" w:space="0" w:color="auto"/>
        <w:left w:val="none" w:sz="0" w:space="0" w:color="auto"/>
        <w:bottom w:val="none" w:sz="0" w:space="0" w:color="auto"/>
        <w:right w:val="none" w:sz="0" w:space="0" w:color="auto"/>
      </w:divBdr>
    </w:div>
    <w:div w:id="405761716">
      <w:bodyDiv w:val="1"/>
      <w:marLeft w:val="0"/>
      <w:marRight w:val="0"/>
      <w:marTop w:val="0"/>
      <w:marBottom w:val="0"/>
      <w:divBdr>
        <w:top w:val="none" w:sz="0" w:space="0" w:color="auto"/>
        <w:left w:val="none" w:sz="0" w:space="0" w:color="auto"/>
        <w:bottom w:val="none" w:sz="0" w:space="0" w:color="auto"/>
        <w:right w:val="none" w:sz="0" w:space="0" w:color="auto"/>
      </w:divBdr>
    </w:div>
    <w:div w:id="503324234">
      <w:bodyDiv w:val="1"/>
      <w:marLeft w:val="0"/>
      <w:marRight w:val="0"/>
      <w:marTop w:val="0"/>
      <w:marBottom w:val="0"/>
      <w:divBdr>
        <w:top w:val="none" w:sz="0" w:space="0" w:color="auto"/>
        <w:left w:val="none" w:sz="0" w:space="0" w:color="auto"/>
        <w:bottom w:val="none" w:sz="0" w:space="0" w:color="auto"/>
        <w:right w:val="none" w:sz="0" w:space="0" w:color="auto"/>
      </w:divBdr>
    </w:div>
    <w:div w:id="524828505">
      <w:bodyDiv w:val="1"/>
      <w:marLeft w:val="0"/>
      <w:marRight w:val="0"/>
      <w:marTop w:val="0"/>
      <w:marBottom w:val="0"/>
      <w:divBdr>
        <w:top w:val="none" w:sz="0" w:space="0" w:color="auto"/>
        <w:left w:val="none" w:sz="0" w:space="0" w:color="auto"/>
        <w:bottom w:val="none" w:sz="0" w:space="0" w:color="auto"/>
        <w:right w:val="none" w:sz="0" w:space="0" w:color="auto"/>
      </w:divBdr>
    </w:div>
    <w:div w:id="532815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86586140">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0690235">
      <w:bodyDiv w:val="1"/>
      <w:marLeft w:val="0"/>
      <w:marRight w:val="0"/>
      <w:marTop w:val="0"/>
      <w:marBottom w:val="0"/>
      <w:divBdr>
        <w:top w:val="none" w:sz="0" w:space="0" w:color="auto"/>
        <w:left w:val="none" w:sz="0" w:space="0" w:color="auto"/>
        <w:bottom w:val="none" w:sz="0" w:space="0" w:color="auto"/>
        <w:right w:val="none" w:sz="0" w:space="0" w:color="auto"/>
      </w:divBdr>
    </w:div>
    <w:div w:id="1033850076">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13145796">
      <w:bodyDiv w:val="1"/>
      <w:marLeft w:val="0"/>
      <w:marRight w:val="0"/>
      <w:marTop w:val="0"/>
      <w:marBottom w:val="0"/>
      <w:divBdr>
        <w:top w:val="none" w:sz="0" w:space="0" w:color="auto"/>
        <w:left w:val="none" w:sz="0" w:space="0" w:color="auto"/>
        <w:bottom w:val="none" w:sz="0" w:space="0" w:color="auto"/>
        <w:right w:val="none" w:sz="0" w:space="0" w:color="auto"/>
      </w:divBdr>
    </w:div>
    <w:div w:id="1369455573">
      <w:bodyDiv w:val="1"/>
      <w:marLeft w:val="0"/>
      <w:marRight w:val="0"/>
      <w:marTop w:val="0"/>
      <w:marBottom w:val="0"/>
      <w:divBdr>
        <w:top w:val="none" w:sz="0" w:space="0" w:color="auto"/>
        <w:left w:val="none" w:sz="0" w:space="0" w:color="auto"/>
        <w:bottom w:val="none" w:sz="0" w:space="0" w:color="auto"/>
        <w:right w:val="none" w:sz="0" w:space="0" w:color="auto"/>
      </w:divBdr>
    </w:div>
    <w:div w:id="1572806850">
      <w:bodyDiv w:val="1"/>
      <w:marLeft w:val="0"/>
      <w:marRight w:val="0"/>
      <w:marTop w:val="0"/>
      <w:marBottom w:val="0"/>
      <w:divBdr>
        <w:top w:val="none" w:sz="0" w:space="0" w:color="auto"/>
        <w:left w:val="none" w:sz="0" w:space="0" w:color="auto"/>
        <w:bottom w:val="none" w:sz="0" w:space="0" w:color="auto"/>
        <w:right w:val="none" w:sz="0" w:space="0" w:color="auto"/>
      </w:divBdr>
    </w:div>
    <w:div w:id="1594897007">
      <w:bodyDiv w:val="1"/>
      <w:marLeft w:val="0"/>
      <w:marRight w:val="0"/>
      <w:marTop w:val="0"/>
      <w:marBottom w:val="0"/>
      <w:divBdr>
        <w:top w:val="none" w:sz="0" w:space="0" w:color="auto"/>
        <w:left w:val="none" w:sz="0" w:space="0" w:color="auto"/>
        <w:bottom w:val="none" w:sz="0" w:space="0" w:color="auto"/>
        <w:right w:val="none" w:sz="0" w:space="0" w:color="auto"/>
      </w:divBdr>
    </w:div>
    <w:div w:id="1664972403">
      <w:bodyDiv w:val="1"/>
      <w:marLeft w:val="0"/>
      <w:marRight w:val="0"/>
      <w:marTop w:val="0"/>
      <w:marBottom w:val="0"/>
      <w:divBdr>
        <w:top w:val="none" w:sz="0" w:space="0" w:color="auto"/>
        <w:left w:val="none" w:sz="0" w:space="0" w:color="auto"/>
        <w:bottom w:val="none" w:sz="0" w:space="0" w:color="auto"/>
        <w:right w:val="none" w:sz="0" w:space="0" w:color="auto"/>
      </w:divBdr>
    </w:div>
    <w:div w:id="1819686380">
      <w:bodyDiv w:val="1"/>
      <w:marLeft w:val="0"/>
      <w:marRight w:val="0"/>
      <w:marTop w:val="0"/>
      <w:marBottom w:val="0"/>
      <w:divBdr>
        <w:top w:val="none" w:sz="0" w:space="0" w:color="auto"/>
        <w:left w:val="none" w:sz="0" w:space="0" w:color="auto"/>
        <w:bottom w:val="none" w:sz="0" w:space="0" w:color="auto"/>
        <w:right w:val="none" w:sz="0" w:space="0" w:color="auto"/>
      </w:divBdr>
    </w:div>
    <w:div w:id="1841384473">
      <w:bodyDiv w:val="1"/>
      <w:marLeft w:val="0"/>
      <w:marRight w:val="0"/>
      <w:marTop w:val="0"/>
      <w:marBottom w:val="0"/>
      <w:divBdr>
        <w:top w:val="none" w:sz="0" w:space="0" w:color="auto"/>
        <w:left w:val="none" w:sz="0" w:space="0" w:color="auto"/>
        <w:bottom w:val="none" w:sz="0" w:space="0" w:color="auto"/>
        <w:right w:val="none" w:sz="0" w:space="0" w:color="auto"/>
      </w:divBdr>
    </w:div>
    <w:div w:id="1920603437">
      <w:bodyDiv w:val="1"/>
      <w:marLeft w:val="0"/>
      <w:marRight w:val="0"/>
      <w:marTop w:val="0"/>
      <w:marBottom w:val="0"/>
      <w:divBdr>
        <w:top w:val="none" w:sz="0" w:space="0" w:color="auto"/>
        <w:left w:val="none" w:sz="0" w:space="0" w:color="auto"/>
        <w:bottom w:val="none" w:sz="0" w:space="0" w:color="auto"/>
        <w:right w:val="none" w:sz="0" w:space="0" w:color="auto"/>
      </w:divBdr>
    </w:div>
    <w:div w:id="1936667577">
      <w:bodyDiv w:val="1"/>
      <w:marLeft w:val="0"/>
      <w:marRight w:val="0"/>
      <w:marTop w:val="0"/>
      <w:marBottom w:val="0"/>
      <w:divBdr>
        <w:top w:val="none" w:sz="0" w:space="0" w:color="auto"/>
        <w:left w:val="none" w:sz="0" w:space="0" w:color="auto"/>
        <w:bottom w:val="none" w:sz="0" w:space="0" w:color="auto"/>
        <w:right w:val="none" w:sz="0" w:space="0" w:color="auto"/>
      </w:divBdr>
      <w:divsChild>
        <w:div w:id="1265454370">
          <w:marLeft w:val="0"/>
          <w:marRight w:val="0"/>
          <w:marTop w:val="0"/>
          <w:marBottom w:val="0"/>
          <w:divBdr>
            <w:top w:val="none" w:sz="0" w:space="0" w:color="auto"/>
            <w:left w:val="none" w:sz="0" w:space="0" w:color="auto"/>
            <w:bottom w:val="none" w:sz="0" w:space="0" w:color="auto"/>
            <w:right w:val="none" w:sz="0" w:space="0" w:color="auto"/>
          </w:divBdr>
          <w:divsChild>
            <w:div w:id="983196691">
              <w:marLeft w:val="0"/>
              <w:marRight w:val="0"/>
              <w:marTop w:val="0"/>
              <w:marBottom w:val="0"/>
              <w:divBdr>
                <w:top w:val="none" w:sz="0" w:space="0" w:color="auto"/>
                <w:left w:val="none" w:sz="0" w:space="0" w:color="auto"/>
                <w:bottom w:val="none" w:sz="0" w:space="0" w:color="auto"/>
                <w:right w:val="none" w:sz="0" w:space="0" w:color="auto"/>
              </w:divBdr>
            </w:div>
          </w:divsChild>
        </w:div>
        <w:div w:id="90676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er.singh@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5687BC-1B75-4BB3-9EEC-8766EAE3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5107</Words>
  <Characters>27501</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4</cp:revision>
  <cp:lastPrinted>2014-10-31T16:34:00Z</cp:lastPrinted>
  <dcterms:created xsi:type="dcterms:W3CDTF">2022-07-07T17:12:00Z</dcterms:created>
  <dcterms:modified xsi:type="dcterms:W3CDTF">2022-07-07T22:03:00Z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